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W w:w="4800" w:type="pct"/>
        <w:jc w:val="center"/>
        <w:tblCellSpacing w:w="0" w:type="dxa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8306"/>
      </w:tblGrid>
      <w:tr w14:paraId="5357A02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0" w:type="auto"/>
            <w:vAlign w:val="center"/>
          </w:tcPr>
          <w:tbl>
            <w:tblPr>
              <w:tblStyle w:val="4"/>
              <w:tblW w:w="5000" w:type="pct"/>
              <w:tblCellSpacing w:w="0" w:type="dxa"/>
              <w:tblInd w:w="0" w:type="dxa"/>
              <w:tblLayout w:type="autofit"/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8306"/>
            </w:tblGrid>
            <w:tr w14:paraId="55CC2142">
              <w:tblPrEx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blCellSpacing w:w="0" w:type="dxa"/>
              </w:trPr>
              <w:tc>
                <w:tcPr>
                  <w:tcW w:w="0" w:type="auto"/>
                  <w:vAlign w:val="center"/>
                </w:tcPr>
                <w:tbl>
                  <w:tblPr>
                    <w:tblStyle w:val="4"/>
                    <w:tblW w:w="5000" w:type="pct"/>
                    <w:tblCellSpacing w:w="0" w:type="dxa"/>
                    <w:tblInd w:w="0" w:type="dxa"/>
                    <w:tblLayout w:type="autofit"/>
                    <w:tblCellMar>
                      <w:top w:w="120" w:type="dxa"/>
                      <w:left w:w="120" w:type="dxa"/>
                      <w:bottom w:w="120" w:type="dxa"/>
                      <w:right w:w="120" w:type="dxa"/>
                    </w:tblCellMar>
                  </w:tblPr>
                  <w:tblGrid>
                    <w:gridCol w:w="8306"/>
                  </w:tblGrid>
                  <w:tr w14:paraId="3500083F">
                    <w:tblPrEx>
                      <w:tblCellMar>
                        <w:top w:w="120" w:type="dxa"/>
                        <w:left w:w="120" w:type="dxa"/>
                        <w:bottom w:w="120" w:type="dxa"/>
                        <w:right w:w="120" w:type="dxa"/>
                      </w:tblCellMar>
                    </w:tblPrEx>
                    <w:trPr>
                      <w:trHeight w:val="6900" w:hRule="atLeast"/>
                      <w:tblCellSpacing w:w="0" w:type="dxa"/>
                    </w:trPr>
                    <w:tc>
                      <w:tcPr>
                        <w:tcW w:w="0" w:type="auto"/>
                      </w:tcPr>
                      <w:p w14:paraId="62402F3A">
                        <w:pPr>
                          <w:widowControl/>
                          <w:spacing w:line="312" w:lineRule="auto"/>
                          <w:jc w:val="center"/>
                          <w:rPr>
                            <w:rFonts w:ascii="黑体" w:eastAsia="黑体"/>
                            <w:sz w:val="28"/>
                            <w:szCs w:val="28"/>
                          </w:rPr>
                        </w:pPr>
                        <w:r>
                          <w:rPr>
                            <w:rFonts w:hint="eastAsia" w:ascii="黑体" w:eastAsia="黑体"/>
                            <w:sz w:val="28"/>
                            <w:szCs w:val="28"/>
                          </w:rPr>
                          <w:t xml:space="preserve">《材料工程》参考文献著录要求（根据GB/T 7714—2025） </w:t>
                        </w:r>
                        <w:r>
                          <w:rPr>
                            <w:rFonts w:hint="eastAsia" w:eastAsia="黑体"/>
                            <w:sz w:val="28"/>
                            <w:szCs w:val="28"/>
                          </w:rPr>
                          <w:t> </w:t>
                        </w:r>
                        <w:r>
                          <w:rPr>
                            <w:rFonts w:hint="eastAsia" w:ascii="黑体" w:eastAsia="黑体"/>
                            <w:sz w:val="28"/>
                            <w:szCs w:val="28"/>
                          </w:rPr>
                          <w:t xml:space="preserve"> </w:t>
                        </w:r>
                      </w:p>
                      <w:p w14:paraId="6D5BC235">
                        <w:pPr>
                          <w:rPr>
                            <w:rFonts w:ascii="Times New Roman" w:hAnsi="Times New Roman" w:eastAsia="华文楷体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eastAsia="华文楷体" w:cs="Times New Roman"/>
                            <w:sz w:val="24"/>
                            <w:szCs w:val="24"/>
                          </w:rPr>
                          <w:t>1</w:t>
                        </w:r>
                        <w:r>
                          <w:rPr>
                            <w:rFonts w:ascii="Times New Roman" w:hAnsi="华文楷体" w:eastAsia="华文楷体" w:cs="Times New Roman"/>
                            <w:sz w:val="24"/>
                            <w:szCs w:val="24"/>
                          </w:rPr>
                          <w:t>、</w:t>
                        </w:r>
                        <w:r>
                          <w:rPr>
                            <w:rFonts w:hint="eastAsia" w:ascii="Times New Roman" w:hAnsi="华文楷体" w:eastAsia="华文楷体" w:cs="Times New Roman"/>
                            <w:sz w:val="24"/>
                            <w:szCs w:val="24"/>
                          </w:rPr>
                          <w:t>文献类型和标识代码</w:t>
                        </w:r>
                      </w:p>
                      <w:p w14:paraId="15F0BB2A">
                        <w:pPr>
                          <w:ind w:firstLine="400" w:firstLineChars="200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图书、期刊、报纸、会议录、学位论文、报告、标准、专利、网站、网页、数据集、预印本等文献类型和标识代码见表1。</w:t>
                        </w:r>
                      </w:p>
                      <w:p w14:paraId="50D9A8CE">
                        <w:pPr>
                          <w:jc w:val="center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表1 文献类型和标识代码</w:t>
                        </w:r>
                      </w:p>
                      <w:tbl>
                        <w:tblPr>
                          <w:tblStyle w:val="5"/>
                          <w:tblW w:w="0" w:type="auto"/>
                          <w:tblInd w:w="0" w:type="dxa"/>
                          <w:tblBorders>
                            <w:top w:val="single" w:color="000000" w:themeColor="text1" w:sz="4" w:space="0"/>
                            <w:left w:val="single" w:color="000000" w:themeColor="text1" w:sz="4" w:space="0"/>
                            <w:bottom w:val="single" w:color="000000" w:themeColor="text1" w:sz="4" w:space="0"/>
                            <w:right w:val="single" w:color="000000" w:themeColor="text1" w:sz="4" w:space="0"/>
                            <w:insideH w:val="single" w:color="000000" w:themeColor="text1" w:sz="4" w:space="0"/>
                            <w:insideV w:val="single" w:color="000000" w:themeColor="text1" w:sz="4" w:space="0"/>
                          </w:tblBorders>
                          <w:tblLayout w:type="autofit"/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>
                        <w:tblGrid>
                          <w:gridCol w:w="1341"/>
                          <w:gridCol w:w="1342"/>
                          <w:gridCol w:w="1342"/>
                          <w:gridCol w:w="1342"/>
                          <w:gridCol w:w="1342"/>
                          <w:gridCol w:w="1342"/>
                        </w:tblGrid>
                        <w:tr w14:paraId="484935D9">
                          <w:tblPrEx>
                            <w:tblBorders>
                              <w:top w:val="single" w:color="000000" w:themeColor="text1" w:sz="4" w:space="0"/>
                              <w:left w:val="single" w:color="000000" w:themeColor="text1" w:sz="4" w:space="0"/>
                              <w:bottom w:val="single" w:color="000000" w:themeColor="text1" w:sz="4" w:space="0"/>
                              <w:right w:val="single" w:color="000000" w:themeColor="text1" w:sz="4" w:space="0"/>
                              <w:insideH w:val="single" w:color="000000" w:themeColor="text1" w:sz="4" w:space="0"/>
                              <w:insideV w:val="single" w:color="000000" w:themeColor="text1" w:sz="4" w:space="0"/>
                            </w:tblBorders>
                          </w:tblPrEx>
                          <w:tc>
                            <w:tcPr>
                              <w:tcW w:w="1341" w:type="dxa"/>
                            </w:tcPr>
                            <w:p w14:paraId="3CE7CB52">
                              <w:pPr>
                                <w:jc w:val="center"/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参考文献类型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right w:val="double" w:color="auto" w:sz="4" w:space="0"/>
                              </w:tcBorders>
                            </w:tcPr>
                            <w:p w14:paraId="42A7D269">
                              <w:pPr>
                                <w:jc w:val="center"/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文献类型标识代码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left w:val="double" w:color="auto" w:sz="4" w:space="0"/>
                              </w:tcBorders>
                            </w:tcPr>
                            <w:p w14:paraId="164D28B4">
                              <w:pPr>
                                <w:jc w:val="center"/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参考文献类型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right w:val="double" w:color="auto" w:sz="4" w:space="0"/>
                              </w:tcBorders>
                            </w:tcPr>
                            <w:p w14:paraId="3CC5EF0A">
                              <w:pPr>
                                <w:jc w:val="center"/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文献类型标识代码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left w:val="double" w:color="auto" w:sz="4" w:space="0"/>
                              </w:tcBorders>
                            </w:tcPr>
                            <w:p w14:paraId="50B1BF27">
                              <w:pPr>
                                <w:jc w:val="center"/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参考文献类型</w:t>
                              </w:r>
                            </w:p>
                          </w:tc>
                          <w:tc>
                            <w:tcPr>
                              <w:tcW w:w="1342" w:type="dxa"/>
                            </w:tcPr>
                            <w:p w14:paraId="565EB1A7">
                              <w:pPr>
                                <w:jc w:val="center"/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文献类型标识代码</w:t>
                              </w:r>
                            </w:p>
                          </w:tc>
                        </w:tr>
                        <w:tr w14:paraId="1BC0E59F">
                          <w:tblPrEx>
                            <w:tblBorders>
                              <w:top w:val="single" w:color="000000" w:themeColor="text1" w:sz="4" w:space="0"/>
                              <w:left w:val="single" w:color="000000" w:themeColor="text1" w:sz="4" w:space="0"/>
                              <w:bottom w:val="single" w:color="000000" w:themeColor="text1" w:sz="4" w:space="0"/>
                              <w:right w:val="single" w:color="000000" w:themeColor="text1" w:sz="4" w:space="0"/>
                              <w:insideH w:val="single" w:color="000000" w:themeColor="text1" w:sz="4" w:space="0"/>
                              <w:insideV w:val="single" w:color="000000" w:themeColor="text1" w:sz="4" w:space="0"/>
                            </w:tblBorders>
                            <w:tblCell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blCellMar>
                          </w:tblPrEx>
                          <w:tc>
                            <w:tcPr>
                              <w:tcW w:w="1341" w:type="dxa"/>
                            </w:tcPr>
                            <w:p w14:paraId="1C5C54E1">
                              <w:pPr>
                                <w:jc w:val="center"/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图书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right w:val="double" w:color="auto" w:sz="4" w:space="0"/>
                              </w:tcBorders>
                            </w:tcPr>
                            <w:p w14:paraId="4539B61C">
                              <w:pPr>
                                <w:jc w:val="center"/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M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left w:val="double" w:color="auto" w:sz="4" w:space="0"/>
                              </w:tcBorders>
                            </w:tcPr>
                            <w:p w14:paraId="77F46FD3">
                              <w:pPr>
                                <w:jc w:val="center"/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报告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right w:val="double" w:color="auto" w:sz="4" w:space="0"/>
                              </w:tcBorders>
                            </w:tcPr>
                            <w:p w14:paraId="227D1999">
                              <w:pPr>
                                <w:jc w:val="center"/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R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left w:val="double" w:color="auto" w:sz="4" w:space="0"/>
                              </w:tcBorders>
                            </w:tcPr>
                            <w:p w14:paraId="1ECB094F">
                              <w:pPr>
                                <w:jc w:val="center"/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预印本</w:t>
                              </w:r>
                            </w:p>
                          </w:tc>
                          <w:tc>
                            <w:tcPr>
                              <w:tcW w:w="1342" w:type="dxa"/>
                            </w:tcPr>
                            <w:p w14:paraId="356A2EE3">
                              <w:pPr>
                                <w:jc w:val="center"/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PP</w:t>
                              </w:r>
                            </w:p>
                          </w:tc>
                        </w:tr>
                        <w:tr w14:paraId="01237236">
                          <w:tblPrEx>
                            <w:tblBorders>
                              <w:top w:val="single" w:color="000000" w:themeColor="text1" w:sz="4" w:space="0"/>
                              <w:left w:val="single" w:color="000000" w:themeColor="text1" w:sz="4" w:space="0"/>
                              <w:bottom w:val="single" w:color="000000" w:themeColor="text1" w:sz="4" w:space="0"/>
                              <w:right w:val="single" w:color="000000" w:themeColor="text1" w:sz="4" w:space="0"/>
                              <w:insideH w:val="single" w:color="000000" w:themeColor="text1" w:sz="4" w:space="0"/>
                              <w:insideV w:val="single" w:color="000000" w:themeColor="text1" w:sz="4" w:space="0"/>
                            </w:tblBorders>
                            <w:tblCell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blCellMar>
                          </w:tblPrEx>
                          <w:tc>
                            <w:tcPr>
                              <w:tcW w:w="1341" w:type="dxa"/>
                            </w:tcPr>
                            <w:p w14:paraId="3F7F06F3">
                              <w:pPr>
                                <w:jc w:val="center"/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期刊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right w:val="double" w:color="auto" w:sz="4" w:space="0"/>
                              </w:tcBorders>
                            </w:tcPr>
                            <w:p w14:paraId="5FEBE137">
                              <w:pPr>
                                <w:jc w:val="center"/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J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left w:val="double" w:color="auto" w:sz="4" w:space="0"/>
                              </w:tcBorders>
                            </w:tcPr>
                            <w:p w14:paraId="7E119F9D">
                              <w:pPr>
                                <w:jc w:val="center"/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标准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right w:val="double" w:color="auto" w:sz="4" w:space="0"/>
                              </w:tcBorders>
                            </w:tcPr>
                            <w:p w14:paraId="0D325777">
                              <w:pPr>
                                <w:jc w:val="center"/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S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left w:val="double" w:color="auto" w:sz="4" w:space="0"/>
                              </w:tcBorders>
                            </w:tcPr>
                            <w:p w14:paraId="6E548281">
                              <w:pPr>
                                <w:jc w:val="center"/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汇编</w:t>
                              </w:r>
                            </w:p>
                          </w:tc>
                          <w:tc>
                            <w:tcPr>
                              <w:tcW w:w="1342" w:type="dxa"/>
                            </w:tcPr>
                            <w:p w14:paraId="14F9738D">
                              <w:pPr>
                                <w:jc w:val="center"/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G</w:t>
                              </w:r>
                            </w:p>
                          </w:tc>
                        </w:tr>
                        <w:tr w14:paraId="537A89BC">
                          <w:tblPrEx>
                            <w:tblBorders>
                              <w:top w:val="single" w:color="000000" w:themeColor="text1" w:sz="4" w:space="0"/>
                              <w:left w:val="single" w:color="000000" w:themeColor="text1" w:sz="4" w:space="0"/>
                              <w:bottom w:val="single" w:color="000000" w:themeColor="text1" w:sz="4" w:space="0"/>
                              <w:right w:val="single" w:color="000000" w:themeColor="text1" w:sz="4" w:space="0"/>
                              <w:insideH w:val="single" w:color="000000" w:themeColor="text1" w:sz="4" w:space="0"/>
                              <w:insideV w:val="single" w:color="000000" w:themeColor="text1" w:sz="4" w:space="0"/>
                            </w:tblBorders>
                            <w:tblCell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blCellMar>
                          </w:tblPrEx>
                          <w:tc>
                            <w:tcPr>
                              <w:tcW w:w="1341" w:type="dxa"/>
                            </w:tcPr>
                            <w:p w14:paraId="466AF038">
                              <w:pPr>
                                <w:jc w:val="center"/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报纸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right w:val="double" w:color="auto" w:sz="4" w:space="0"/>
                              </w:tcBorders>
                            </w:tcPr>
                            <w:p w14:paraId="02D18E9F">
                              <w:pPr>
                                <w:jc w:val="center"/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N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left w:val="double" w:color="auto" w:sz="4" w:space="0"/>
                              </w:tcBorders>
                            </w:tcPr>
                            <w:p w14:paraId="106BE47D">
                              <w:pPr>
                                <w:jc w:val="center"/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专利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right w:val="double" w:color="auto" w:sz="4" w:space="0"/>
                              </w:tcBorders>
                            </w:tcPr>
                            <w:p w14:paraId="6256C181">
                              <w:pPr>
                                <w:jc w:val="center"/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P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left w:val="double" w:color="auto" w:sz="4" w:space="0"/>
                              </w:tcBorders>
                            </w:tcPr>
                            <w:p w14:paraId="17DD3971">
                              <w:pPr>
                                <w:jc w:val="center"/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计算机程序</w:t>
                              </w:r>
                            </w:p>
                          </w:tc>
                          <w:tc>
                            <w:tcPr>
                              <w:tcW w:w="1342" w:type="dxa"/>
                            </w:tcPr>
                            <w:p w14:paraId="19489B92">
                              <w:pPr>
                                <w:jc w:val="center"/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CP</w:t>
                              </w:r>
                            </w:p>
                          </w:tc>
                        </w:tr>
                        <w:tr w14:paraId="709BFBCE">
                          <w:tblPrEx>
                            <w:tblBorders>
                              <w:top w:val="single" w:color="000000" w:themeColor="text1" w:sz="4" w:space="0"/>
                              <w:left w:val="single" w:color="000000" w:themeColor="text1" w:sz="4" w:space="0"/>
                              <w:bottom w:val="single" w:color="000000" w:themeColor="text1" w:sz="4" w:space="0"/>
                              <w:right w:val="single" w:color="000000" w:themeColor="text1" w:sz="4" w:space="0"/>
                              <w:insideH w:val="single" w:color="000000" w:themeColor="text1" w:sz="4" w:space="0"/>
                              <w:insideV w:val="single" w:color="000000" w:themeColor="text1" w:sz="4" w:space="0"/>
                            </w:tblBorders>
                            <w:tblCell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blCellMar>
                          </w:tblPrEx>
                          <w:tc>
                            <w:tcPr>
                              <w:tcW w:w="1341" w:type="dxa"/>
                            </w:tcPr>
                            <w:p w14:paraId="4777F45F">
                              <w:pPr>
                                <w:jc w:val="center"/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会议录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right w:val="double" w:color="auto" w:sz="4" w:space="0"/>
                              </w:tcBorders>
                            </w:tcPr>
                            <w:p w14:paraId="2C34FE5C">
                              <w:pPr>
                                <w:jc w:val="center"/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C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left w:val="double" w:color="auto" w:sz="4" w:space="0"/>
                              </w:tcBorders>
                            </w:tcPr>
                            <w:p w14:paraId="4B16F021">
                              <w:pPr>
                                <w:jc w:val="center"/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网站、网页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right w:val="double" w:color="auto" w:sz="4" w:space="0"/>
                              </w:tcBorders>
                            </w:tcPr>
                            <w:p w14:paraId="5199F075">
                              <w:pPr>
                                <w:jc w:val="center"/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EB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left w:val="double" w:color="auto" w:sz="4" w:space="0"/>
                              </w:tcBorders>
                            </w:tcPr>
                            <w:p w14:paraId="538F42D9">
                              <w:pPr>
                                <w:jc w:val="center"/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数据库</w:t>
                              </w:r>
                            </w:p>
                          </w:tc>
                          <w:tc>
                            <w:tcPr>
                              <w:tcW w:w="1342" w:type="dxa"/>
                            </w:tcPr>
                            <w:p w14:paraId="44526EFA">
                              <w:pPr>
                                <w:jc w:val="center"/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DB</w:t>
                              </w:r>
                            </w:p>
                          </w:tc>
                        </w:tr>
                        <w:tr w14:paraId="255A80B1">
                          <w:tblPrEx>
                            <w:tblBorders>
                              <w:top w:val="single" w:color="000000" w:themeColor="text1" w:sz="4" w:space="0"/>
                              <w:left w:val="single" w:color="000000" w:themeColor="text1" w:sz="4" w:space="0"/>
                              <w:bottom w:val="single" w:color="000000" w:themeColor="text1" w:sz="4" w:space="0"/>
                              <w:right w:val="single" w:color="000000" w:themeColor="text1" w:sz="4" w:space="0"/>
                              <w:insideH w:val="single" w:color="000000" w:themeColor="text1" w:sz="4" w:space="0"/>
                              <w:insideV w:val="single" w:color="000000" w:themeColor="text1" w:sz="4" w:space="0"/>
                            </w:tblBorders>
                            <w:tblCell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blCellMar>
                          </w:tblPrEx>
                          <w:tc>
                            <w:tcPr>
                              <w:tcW w:w="1341" w:type="dxa"/>
                            </w:tcPr>
                            <w:p w14:paraId="258706E8">
                              <w:pPr>
                                <w:jc w:val="center"/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学位论文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right w:val="double" w:color="auto" w:sz="4" w:space="0"/>
                              </w:tcBorders>
                            </w:tcPr>
                            <w:p w14:paraId="01C2940D">
                              <w:pPr>
                                <w:jc w:val="center"/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D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left w:val="double" w:color="auto" w:sz="4" w:space="0"/>
                              </w:tcBorders>
                            </w:tcPr>
                            <w:p w14:paraId="6352D729">
                              <w:pPr>
                                <w:jc w:val="center"/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数据集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right w:val="double" w:color="auto" w:sz="4" w:space="0"/>
                              </w:tcBorders>
                            </w:tcPr>
                            <w:p w14:paraId="4434B619">
                              <w:pPr>
                                <w:jc w:val="center"/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DS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left w:val="double" w:color="auto" w:sz="4" w:space="0"/>
                              </w:tcBorders>
                            </w:tcPr>
                            <w:p w14:paraId="6D15888C">
                              <w:pPr>
                                <w:jc w:val="center"/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其他</w:t>
                              </w:r>
                            </w:p>
                          </w:tc>
                          <w:tc>
                            <w:tcPr>
                              <w:tcW w:w="1342" w:type="dxa"/>
                            </w:tcPr>
                            <w:p w14:paraId="50961C34">
                              <w:pPr>
                                <w:jc w:val="center"/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Z</w:t>
                              </w:r>
                            </w:p>
                          </w:tc>
                        </w:tr>
                      </w:tbl>
                      <w:p w14:paraId="0E4A30C1">
                        <w:pP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   联机网络（online）获取的文献的载体类型标识代码为OL，来自网络的文献需在文献类型标识代码后面加“/OL”。</w:t>
                        </w:r>
                      </w:p>
                      <w:p w14:paraId="4323173F">
                        <w:pPr>
                          <w:rPr>
                            <w:rFonts w:ascii="Times New Roman" w:hAnsi="Times New Roman" w:eastAsia="华文楷体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eastAsia="华文楷体" w:cs="Times New Roman"/>
                            <w:sz w:val="24"/>
                            <w:szCs w:val="24"/>
                          </w:rPr>
                          <w:t xml:space="preserve">2 </w:t>
                        </w:r>
                        <w:r>
                          <w:rPr>
                            <w:rFonts w:ascii="Times New Roman" w:hAnsi="华文楷体" w:eastAsia="华文楷体" w:cs="Times New Roman"/>
                            <w:sz w:val="24"/>
                            <w:szCs w:val="24"/>
                          </w:rPr>
                          <w:t>编码及列表</w:t>
                        </w:r>
                      </w:p>
                      <w:p w14:paraId="690902BF">
                        <w:pPr>
                          <w:ind w:firstLine="400" w:firstLineChars="200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按正文中出现的先后顺序连续编码，将序号置于方括号中，在正文中置于引用部分右上角（编码为句子中一部分的不要上标，应列于正文中）；</w:t>
                        </w:r>
                      </w:p>
                      <w:p w14:paraId="7C571BBE">
                        <w:pPr>
                          <w:ind w:firstLine="400" w:firstLineChars="200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同一处引用多篇文献时，将各篇文献的序号在方括号内全部列出，非连续序号间用</w:t>
                        </w:r>
                        <w:r>
                          <w:rPr>
                            <w:rFonts w:cs="Times New Roman" w:asciiTheme="minorEastAsia" w:hAnsiTheme="minorEastAsia"/>
                            <w:sz w:val="20"/>
                            <w:szCs w:val="20"/>
                          </w:rPr>
                          <w:t>“，”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，连续序号起讫序号间用英文连字符连接；多次引用同一篇文献时，在正文中标注首次引用的序号。</w:t>
                        </w:r>
                      </w:p>
                      <w:p w14:paraId="2BD0EB95">
                        <w:pPr>
                          <w:ind w:firstLine="400" w:firstLineChars="200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在正文后按编码顺序列出参考文献。</w:t>
                        </w:r>
                      </w:p>
                      <w:p w14:paraId="7BCB7C67">
                        <w:pPr>
                          <w:rPr>
                            <w:rFonts w:ascii="Times New Roman" w:hAnsi="Times New Roman" w:eastAsia="华文楷体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eastAsia="华文楷体" w:cs="Times New Roman"/>
                            <w:sz w:val="24"/>
                            <w:szCs w:val="24"/>
                          </w:rPr>
                          <w:t xml:space="preserve">3 </w:t>
                        </w:r>
                        <w:r>
                          <w:rPr>
                            <w:rFonts w:ascii="Times New Roman" w:hAnsi="华文楷体" w:eastAsia="华文楷体" w:cs="Times New Roman"/>
                            <w:sz w:val="24"/>
                            <w:szCs w:val="24"/>
                          </w:rPr>
                          <w:t>著录用文字和符号</w:t>
                        </w:r>
                      </w:p>
                      <w:p w14:paraId="7637AB8A">
                        <w:pP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黑体" w:eastAsia="黑体" w:cs="Times New Roman"/>
                            <w:sz w:val="20"/>
                            <w:szCs w:val="20"/>
                          </w:rPr>
                          <w:t>（1）</w:t>
                        </w:r>
                        <w:r>
                          <w:rPr>
                            <w:rFonts w:hint="eastAsia" w:ascii="黑体" w:eastAsia="黑体" w:cs="Times New Roman"/>
                            <w:sz w:val="20"/>
                            <w:szCs w:val="20"/>
                          </w:rPr>
                          <w:t>文字：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原则上用信息资源本身的语种文字著录。（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本刊要求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中文文献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有英文版本的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采用中英文对照著录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，如期刊文献、学位论文，中文文献没有英文版本的可以只是提供中文版本，不用自己翻译相关信息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）。</w:t>
                        </w:r>
                      </w:p>
                      <w:p w14:paraId="79EC601A">
                        <w:pP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黑体" w:eastAsia="黑体" w:cs="Times New Roman"/>
                            <w:sz w:val="20"/>
                            <w:szCs w:val="20"/>
                          </w:rPr>
                          <w:t>（2）</w:t>
                        </w:r>
                        <w:r>
                          <w:rPr>
                            <w:rFonts w:hint="eastAsia" w:ascii="黑体" w:eastAsia="黑体" w:cs="Times New Roman"/>
                            <w:sz w:val="20"/>
                            <w:szCs w:val="20"/>
                          </w:rPr>
                          <w:t>符号：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著录用符号为前置符。参考文献使用下列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9种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标识符号，用法参照示例：</w:t>
                        </w:r>
                      </w:p>
                      <w:p w14:paraId="517D85D3">
                        <w:pPr>
                          <w:autoSpaceDE w:val="0"/>
                          <w:autoSpaceDN w:val="0"/>
                          <w:adjustRightInd w:val="0"/>
                          <w:jc w:val="left"/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 w:hAnsiTheme="minorEastAsia"/>
                            <w:sz w:val="20"/>
                            <w:szCs w:val="20"/>
                          </w:rPr>
                          <w:t>“</w:t>
                        </w:r>
                        <w:r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hint="eastAsia" w:ascii="Times New Roman" w:cs="Times New Roman" w:hAnsiTheme="minorEastAsia"/>
                            <w:sz w:val="20"/>
                            <w:szCs w:val="20"/>
                          </w:rPr>
                          <w:t>”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为</w:t>
                        </w:r>
                        <w:r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  <w:t>英文全角句号</w:t>
                        </w:r>
                        <w:r>
                          <w:rPr>
                            <w:rFonts w:hint="eastAsia" w:ascii="Times New Roman" w:cs="Times New Roman" w:hAnsiTheme="minorEastAsia"/>
                            <w:sz w:val="20"/>
                            <w:szCs w:val="20"/>
                          </w:rPr>
                          <w:t>。用于题名、其他责任者、析出文献其他责任者、版本、出版信息、年卷期、获取和访问路径、永久标识符前。每一条参考文献的结尾可用“</w:t>
                        </w:r>
                        <w:r>
                          <w:rPr>
                            <w:rFonts w:cs="Times New Roman" w:asciiTheme="minorEastAsia" w:hAnsiTheme="minorEastAsia"/>
                            <w:sz w:val="20"/>
                            <w:szCs w:val="20"/>
                          </w:rPr>
                          <w:t>.</w:t>
                        </w:r>
                        <w:r>
                          <w:rPr>
                            <w:rFonts w:hint="eastAsia" w:ascii="Times New Roman" w:cs="Times New Roman" w:hAnsiTheme="minorEastAsia"/>
                            <w:sz w:val="20"/>
                            <w:szCs w:val="20"/>
                          </w:rPr>
                          <w:t>”号标识。</w:t>
                        </w:r>
                      </w:p>
                      <w:p w14:paraId="524F52D1">
                        <w:pPr>
                          <w:autoSpaceDE w:val="0"/>
                          <w:autoSpaceDN w:val="0"/>
                          <w:adjustRightInd w:val="0"/>
                          <w:jc w:val="left"/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 w:hAnsiTheme="minorEastAsia"/>
                            <w:sz w:val="20"/>
                            <w:szCs w:val="20"/>
                          </w:rPr>
                          <w:t>“</w:t>
                        </w:r>
                        <w:r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hint="eastAsia" w:ascii="Times New Roman" w:cs="Times New Roman" w:hAnsiTheme="minorEastAsia"/>
                            <w:sz w:val="20"/>
                            <w:szCs w:val="20"/>
                          </w:rPr>
                          <w:t>”为</w:t>
                        </w:r>
                        <w:r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  <w:t>中文冒号或英文全角冒号，二者相同</w:t>
                        </w:r>
                        <w:r>
                          <w:rPr>
                            <w:rFonts w:hint="eastAsia" w:ascii="Times New Roman" w:cs="Times New Roman" w:hAnsiTheme="minorEastAsia"/>
                            <w:sz w:val="20"/>
                            <w:szCs w:val="20"/>
                          </w:rPr>
                          <w:t>。用于其他题名信息、出版者、页码、学位授予单位、报告编号、专利申请号前。</w:t>
                        </w:r>
                      </w:p>
                      <w:p w14:paraId="0B4252BE">
                        <w:pPr>
                          <w:autoSpaceDE w:val="0"/>
                          <w:autoSpaceDN w:val="0"/>
                          <w:adjustRightInd w:val="0"/>
                          <w:jc w:val="left"/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 w:hAnsiTheme="minorEastAsia"/>
                            <w:sz w:val="20"/>
                            <w:szCs w:val="20"/>
                          </w:rPr>
                          <w:t>“</w:t>
                        </w:r>
                        <w:r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hint="eastAsia" w:ascii="Times New Roman" w:cs="Times New Roman" w:hAnsiTheme="minorEastAsia"/>
                            <w:sz w:val="20"/>
                            <w:szCs w:val="20"/>
                          </w:rPr>
                          <w:t>”为</w:t>
                        </w:r>
                        <w:r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  <w:t>中文逗号或英文全角逗号，二者相同</w:t>
                        </w:r>
                        <w:r>
                          <w:rPr>
                            <w:rFonts w:hint="eastAsia" w:ascii="Times New Roman" w:cs="Times New Roman" w:hAnsiTheme="minorEastAsia"/>
                            <w:sz w:val="20"/>
                            <w:szCs w:val="20"/>
                          </w:rPr>
                          <w:t>。用于同一著作方式的责任者、“等”“译”字样或与之相应的词、出版年、连续出版物及其析出文献中的年和卷号、会议年份、学位授予年前。</w:t>
                        </w:r>
                      </w:p>
                      <w:p w14:paraId="1CFA1464">
                        <w:pP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cs="Times New Roman" w:asciiTheme="minorEastAsia" w:hAnsiTheme="minorEastAsia"/>
                            <w:sz w:val="20"/>
                            <w:szCs w:val="20"/>
                          </w:rPr>
                          <w:t xml:space="preserve"> “</w:t>
                        </w:r>
                        <w:r>
                          <w:rPr>
                            <w:rFonts w:cs="Times New Roman" w:asciiTheme="minorEastAsia" w:hAnsiTheme="minorEastAsia"/>
                            <w:sz w:val="20"/>
                            <w:szCs w:val="20"/>
                          </w:rPr>
                          <w:t>∥</w:t>
                        </w:r>
                        <w:r>
                          <w:rPr>
                            <w:rFonts w:hint="eastAsia" w:cs="Times New Roman" w:asciiTheme="minorEastAsia" w:hAnsiTheme="minorEastAsia"/>
                            <w:sz w:val="20"/>
                            <w:szCs w:val="20"/>
                          </w:rPr>
                          <w:t>”为</w:t>
                        </w:r>
                        <w:r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  <w:t>特殊符号或数学符号的双斜杠</w:t>
                        </w:r>
                        <w:r>
                          <w:rPr>
                            <w:rFonts w:hint="eastAsia" w:ascii="Times New Roman" w:cs="Times New Roman" w:hAnsiTheme="minorEastAsia"/>
                            <w:sz w:val="20"/>
                            <w:szCs w:val="20"/>
                          </w:rPr>
                          <w:t>。用于析出文献的出处、会议名称前。</w:t>
                        </w:r>
                      </w:p>
                      <w:p w14:paraId="4A74A584">
                        <w:pPr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 w:hAnsiTheme="minorEastAsia"/>
                            <w:sz w:val="20"/>
                            <w:szCs w:val="20"/>
                          </w:rPr>
                          <w:t>“</w:t>
                        </w:r>
                        <w:r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  <w:t>（）</w:t>
                        </w:r>
                        <w:r>
                          <w:rPr>
                            <w:rFonts w:hint="eastAsia" w:ascii="Times New Roman" w:cs="Times New Roman" w:hAnsiTheme="minorEastAsia"/>
                            <w:sz w:val="20"/>
                            <w:szCs w:val="20"/>
                          </w:rPr>
                          <w:t>”为</w:t>
                        </w:r>
                        <w:r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  <w:t>中文或英文全角圆括号，二者相同</w:t>
                        </w:r>
                        <w:r>
                          <w:rPr>
                            <w:rFonts w:hint="eastAsia" w:ascii="Times New Roman" w:cs="Times New Roman" w:hAnsiTheme="minorEastAsia"/>
                            <w:sz w:val="20"/>
                            <w:szCs w:val="20"/>
                          </w:rPr>
                          <w:t>。用于连续出版物及其析出文献中的期号</w:t>
                        </w:r>
                        <w:r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  <w:t>/</w:t>
                        </w:r>
                        <w:r>
                          <w:rPr>
                            <w:rFonts w:hint="eastAsia" w:ascii="Times New Roman" w:cs="Times New Roman" w:hAnsiTheme="minorEastAsia"/>
                            <w:sz w:val="20"/>
                            <w:szCs w:val="20"/>
                          </w:rPr>
                          <w:t>版次、创建</w:t>
                        </w:r>
                        <w:r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  <w:t>/</w:t>
                        </w:r>
                        <w:r>
                          <w:rPr>
                            <w:rFonts w:hint="eastAsia" w:ascii="Times New Roman" w:cs="Times New Roman" w:hAnsiTheme="minorEastAsia"/>
                            <w:sz w:val="20"/>
                            <w:szCs w:val="20"/>
                          </w:rPr>
                          <w:t>发布或修改日期。</w:t>
                        </w:r>
                      </w:p>
                      <w:p w14:paraId="45261CAF">
                        <w:pPr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cs="Times New Roman" w:asciiTheme="minorEastAsia" w:hAnsiTheme="minorEastAsia"/>
                            <w:sz w:val="20"/>
                            <w:szCs w:val="20"/>
                          </w:rPr>
                          <w:t>“</w:t>
                        </w:r>
                        <w:r>
                          <w:rPr>
                            <w:rFonts w:cs="Times New Roman" w:asciiTheme="minorEastAsia" w:hAnsiTheme="minorEastAsia"/>
                            <w:sz w:val="20"/>
                            <w:szCs w:val="20"/>
                          </w:rPr>
                          <w:t>[ ]</w:t>
                        </w:r>
                        <w:r>
                          <w:rPr>
                            <w:rFonts w:hint="eastAsia" w:cs="Times New Roman" w:asciiTheme="minorEastAsia" w:hAnsiTheme="minorEastAsia"/>
                            <w:sz w:val="20"/>
                            <w:szCs w:val="20"/>
                          </w:rPr>
                          <w:t>”为</w:t>
                        </w:r>
                        <w:r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  <w:t>英文半角方括号</w:t>
                        </w:r>
                        <w:r>
                          <w:rPr>
                            <w:rFonts w:hint="eastAsia" w:ascii="Times New Roman" w:cs="Times New Roman" w:hAnsiTheme="minorEastAsia"/>
                            <w:sz w:val="20"/>
                            <w:szCs w:val="20"/>
                          </w:rPr>
                          <w:t>。用于文献序号、文献类型和文献载体标识、引用日期以及自拟的信息。</w:t>
                        </w:r>
                      </w:p>
                      <w:p w14:paraId="75EFA778">
                        <w:pPr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cs="Times New Roman" w:asciiTheme="minorEastAsia" w:hAnsiTheme="minorEastAsia"/>
                            <w:sz w:val="20"/>
                            <w:szCs w:val="20"/>
                          </w:rPr>
                          <w:t>“</w:t>
                        </w:r>
                        <w:r>
                          <w:rPr>
                            <w:rFonts w:cs="Times New Roman" w:asciiTheme="minorEastAsia" w:hAnsiTheme="minorEastAsia"/>
                            <w:sz w:val="20"/>
                            <w:szCs w:val="20"/>
                          </w:rPr>
                          <w:t>/</w:t>
                        </w:r>
                        <w:r>
                          <w:rPr>
                            <w:rFonts w:hint="eastAsia" w:cs="Times New Roman" w:asciiTheme="minorEastAsia" w:hAnsiTheme="minorEastAsia"/>
                            <w:sz w:val="20"/>
                            <w:szCs w:val="20"/>
                          </w:rPr>
                          <w:t>”为</w:t>
                        </w:r>
                        <w:r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  <w:t>英文</w:t>
                        </w:r>
                        <w:r>
                          <w:rPr>
                            <w:rFonts w:hint="eastAsia" w:ascii="Times New Roman" w:cs="Times New Roman" w:hAnsiTheme="minorEastAsia"/>
                            <w:sz w:val="20"/>
                            <w:szCs w:val="20"/>
                          </w:rPr>
                          <w:t>半角</w:t>
                        </w:r>
                        <w:r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  <w:t>斜杠</w:t>
                        </w:r>
                        <w:r>
                          <w:rPr>
                            <w:rFonts w:hint="eastAsia" w:ascii="Times New Roman" w:cs="Times New Roman" w:hAnsiTheme="minorEastAsia"/>
                            <w:sz w:val="20"/>
                            <w:szCs w:val="20"/>
                          </w:rPr>
                          <w:t>。用于合期的期号或合卷的卷号间、文献载体标识前。</w:t>
                        </w:r>
                      </w:p>
                      <w:p w14:paraId="1B661A8E">
                        <w:pP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cs="Times New Roman" w:asciiTheme="minorEastAsia" w:hAnsiTheme="minorEastAsia"/>
                            <w:sz w:val="20"/>
                            <w:szCs w:val="20"/>
                          </w:rPr>
                          <w:t>“</w:t>
                        </w:r>
                        <w:r>
                          <w:rPr>
                            <w:rFonts w:cs="Times New Roman" w:asciiTheme="minorEastAsia" w:hAnsiTheme="minorEastAsia"/>
                            <w:sz w:val="20"/>
                            <w:szCs w:val="20"/>
                          </w:rPr>
                          <w:t>-</w:t>
                        </w:r>
                        <w:r>
                          <w:rPr>
                            <w:rFonts w:hint="eastAsia" w:cs="Times New Roman" w:asciiTheme="minorEastAsia" w:hAnsiTheme="minorEastAsia"/>
                            <w:sz w:val="20"/>
                            <w:szCs w:val="20"/>
                          </w:rPr>
                          <w:t>”为</w:t>
                        </w:r>
                        <w:r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  <w:t>英文</w:t>
                        </w:r>
                        <w:r>
                          <w:rPr>
                            <w:rFonts w:hint="eastAsia" w:ascii="Times New Roman" w:cs="Times New Roman" w:hAnsiTheme="minorEastAsia"/>
                            <w:sz w:val="20"/>
                            <w:szCs w:val="20"/>
                          </w:rPr>
                          <w:t>半角</w:t>
                        </w:r>
                        <w:r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  <w:t>连字符</w:t>
                        </w:r>
                        <w:r>
                          <w:rPr>
                            <w:rFonts w:hint="eastAsia" w:ascii="Times New Roman" w:cs="Times New Roman" w:hAnsiTheme="minorEastAsia"/>
                            <w:sz w:val="20"/>
                            <w:szCs w:val="20"/>
                          </w:rPr>
                          <w:t>。用于起讫页码、起讫序号间。</w:t>
                        </w:r>
                      </w:p>
                      <w:p w14:paraId="523C0DF8">
                        <w:pPr>
                          <w:rPr>
                            <w:rFonts w:ascii="Times New Roman" w:hAnsi="Times New Roman" w:eastAsia="华文楷体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英文半角和全角切换：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shift+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空格。</w:t>
                        </w:r>
                      </w:p>
                      <w:p w14:paraId="4EC157A3">
                        <w:pPr>
                          <w:rPr>
                            <w:rFonts w:ascii="Times New Roman" w:hAnsi="Times New Roman" w:eastAsia="华文楷体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hint="eastAsia" w:ascii="Times New Roman" w:hAnsi="Times New Roman" w:eastAsia="华文楷体" w:cs="Times New Roman"/>
                            <w:sz w:val="24"/>
                            <w:szCs w:val="24"/>
                          </w:rPr>
                          <w:t>4</w:t>
                        </w:r>
                        <w:r>
                          <w:rPr>
                            <w:rFonts w:ascii="Times New Roman" w:hAnsi="Times New Roman" w:eastAsia="华文楷体" w:cs="Times New Roman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rFonts w:ascii="Times New Roman" w:hAnsi="华文楷体" w:eastAsia="华文楷体" w:cs="Times New Roman"/>
                            <w:sz w:val="24"/>
                            <w:szCs w:val="24"/>
                          </w:rPr>
                          <w:t>著录格式及示例</w:t>
                        </w:r>
                      </w:p>
                      <w:p w14:paraId="7FB2B1A2">
                        <w:pPr>
                          <w:rPr>
                            <w:rFonts w:ascii="黑体" w:hAnsi="Times New Roman" w:eastAsia="黑体" w:cs="Times New Roman"/>
                            <w:szCs w:val="21"/>
                          </w:rPr>
                        </w:pPr>
                        <w:r>
                          <w:rPr>
                            <w:rFonts w:hint="eastAsia" w:ascii="黑体" w:eastAsia="黑体" w:cs="Times New Roman"/>
                            <w:szCs w:val="21"/>
                          </w:rPr>
                          <w:t>（</w:t>
                        </w:r>
                        <w:r>
                          <w:rPr>
                            <w:rFonts w:hint="eastAsia" w:ascii="黑体" w:hAnsi="Times New Roman" w:eastAsia="黑体" w:cs="Times New Roman"/>
                            <w:szCs w:val="21"/>
                          </w:rPr>
                          <w:t>1</w:t>
                        </w:r>
                        <w:r>
                          <w:rPr>
                            <w:rFonts w:hint="eastAsia" w:ascii="黑体" w:eastAsia="黑体" w:cs="Times New Roman"/>
                            <w:szCs w:val="21"/>
                          </w:rPr>
                          <w:t>）</w:t>
                        </w:r>
                        <w:r>
                          <w:rPr>
                            <w:rFonts w:hint="eastAsia" w:ascii="黑体" w:hAnsi="Times New Roman" w:eastAsia="黑体" w:cs="Times New Roman"/>
                            <w:szCs w:val="21"/>
                          </w:rPr>
                          <w:t xml:space="preserve"> </w:t>
                        </w:r>
                        <w:r>
                          <w:rPr>
                            <w:rFonts w:hint="eastAsia" w:ascii="黑体" w:eastAsia="黑体" w:cs="Times New Roman"/>
                            <w:szCs w:val="21"/>
                          </w:rPr>
                          <w:t>图书</w:t>
                        </w:r>
                      </w:p>
                      <w:p w14:paraId="4CE051C9">
                        <w:pPr>
                          <w:ind w:left="400" w:hanging="400" w:hangingChars="200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bookmarkStart w:id="0" w:name="OLE_LINK1"/>
                        <w:bookmarkStart w:id="1" w:name="OLE_LINK2"/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[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序号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]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（空二格，下同）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作者（或编著者）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题名</w:t>
                        </w:r>
                        <w:r>
                          <w:rPr>
                            <w:rFonts w:ascii="Times New Roman" w:cs="Times New Roman"/>
                            <w:color w:val="00B050"/>
                            <w:sz w:val="20"/>
                            <w:szCs w:val="20"/>
                          </w:rPr>
                          <w:t>：其他题名信息</w:t>
                        </w:r>
                        <w:r>
                          <w:rPr>
                            <w:rFonts w:ascii="Times New Roman" w:hAnsi="Times New Roman" w:cs="Times New Roman"/>
                            <w:color w:val="FF0000"/>
                            <w:sz w:val="20"/>
                            <w:szCs w:val="20"/>
                          </w:rPr>
                          <w:t>[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M</w:t>
                        </w:r>
                        <w:r>
                          <w:rPr>
                            <w:rFonts w:ascii="Times New Roman" w:hAnsi="Times New Roman" w:cs="Times New Roman"/>
                            <w:color w:val="00B0F0"/>
                            <w:sz w:val="20"/>
                            <w:szCs w:val="20"/>
                          </w:rPr>
                          <w:t>/</w:t>
                        </w:r>
                        <w:r>
                          <w:rPr>
                            <w:rFonts w:hint="eastAsia" w:ascii="Times New Roman" w:hAnsi="Times New Roman" w:cs="Times New Roman"/>
                            <w:color w:val="00B0F0"/>
                            <w:sz w:val="20"/>
                            <w:szCs w:val="20"/>
                          </w:rPr>
                          <w:t>OL</w:t>
                        </w:r>
                        <w:r>
                          <w:rPr>
                            <w:rFonts w:ascii="Times New Roman" w:hAnsi="Times New Roman" w:cs="Times New Roman"/>
                            <w:color w:val="FF0000"/>
                            <w:sz w:val="20"/>
                            <w:szCs w:val="20"/>
                          </w:rPr>
                          <w:t>]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．其他责任者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（译者）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ascii="Times New Roman" w:cs="Times New Roman"/>
                            <w:color w:val="00B050"/>
                            <w:sz w:val="20"/>
                            <w:szCs w:val="20"/>
                          </w:rPr>
                          <w:t>版本项．出版地：出版者，出版年：引文页码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hint="eastAsia" w:ascii="Times New Roman" w:cs="Times New Roman"/>
                            <w:color w:val="00B0F0"/>
                            <w:sz w:val="20"/>
                            <w:szCs w:val="20"/>
                          </w:rPr>
                          <w:t>获取和访问路径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．（注：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红色文字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为必备项，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绿色文字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为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  <w:lang w:eastAsia="zh-CN"/>
                          </w:rPr>
                          <w:t>有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则必备，</w:t>
                        </w:r>
                        <w:r>
                          <w:rPr>
                            <w:rFonts w:hint="eastAsia" w:ascii="Times New Roman" w:cs="Times New Roman"/>
                            <w:color w:val="00B0F0"/>
                            <w:sz w:val="20"/>
                            <w:szCs w:val="20"/>
                          </w:rPr>
                          <w:t>蓝色字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为网络资源必备下同）</w:t>
                        </w:r>
                      </w:p>
                      <w:p w14:paraId="3AC56E3B">
                        <w:pPr>
                          <w:ind w:left="464" w:hanging="463" w:hangingChars="232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[1]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 xml:space="preserve"> 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张立同，曹腊梅，刘国利，等．近净形熔模精密铸造理论与实践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[M]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．北京：国防工业出版社，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2007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</w:p>
                      <w:bookmarkEnd w:id="0"/>
                      <w:bookmarkEnd w:id="1"/>
                      <w:p w14:paraId="526EFB3E">
                        <w:pP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</w:p>
                      <w:p w14:paraId="59FF7AD2">
                        <w:pPr>
                          <w:rPr>
                            <w:rFonts w:ascii="黑体" w:eastAsia="黑体" w:cs="Times New Roman"/>
                            <w:szCs w:val="21"/>
                          </w:rPr>
                        </w:pPr>
                        <w:r>
                          <w:rPr>
                            <w:rFonts w:ascii="黑体" w:eastAsia="黑体" w:cs="Times New Roman"/>
                            <w:szCs w:val="21"/>
                          </w:rPr>
                          <w:t>（2）</w:t>
                        </w:r>
                        <w:r>
                          <w:rPr>
                            <w:rFonts w:hint="eastAsia" w:ascii="黑体" w:eastAsia="黑体" w:cs="Times New Roman"/>
                            <w:szCs w:val="21"/>
                          </w:rPr>
                          <w:t>期刊</w:t>
                        </w:r>
                        <w:r>
                          <w:rPr>
                            <w:rFonts w:ascii="黑体" w:eastAsia="黑体" w:cs="Times New Roman"/>
                            <w:szCs w:val="21"/>
                          </w:rPr>
                          <w:t>中的析出文献（最常引用的一类参考文献）</w:t>
                        </w:r>
                      </w:p>
                      <w:p w14:paraId="4AFEF074">
                        <w:pPr>
                          <w:ind w:left="400" w:hanging="400" w:hangingChars="200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[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序号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]  </w:t>
                        </w:r>
                        <w:r>
                          <w:rPr>
                            <w:rFonts w:ascii="Times New Roman" w:cs="Times New Roman"/>
                            <w:color w:val="00B050"/>
                            <w:sz w:val="20"/>
                            <w:szCs w:val="20"/>
                          </w:rPr>
                          <w:t>析出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文献作者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析出文献名</w:t>
                        </w:r>
                        <w:r>
                          <w:rPr>
                            <w:rFonts w:ascii="Times New Roman" w:hAnsi="Times New Roman" w:cs="Times New Roman"/>
                            <w:color w:val="FF0000"/>
                            <w:sz w:val="20"/>
                            <w:szCs w:val="20"/>
                          </w:rPr>
                          <w:t xml:space="preserve"> [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J</w:t>
                        </w:r>
                        <w:r>
                          <w:rPr>
                            <w:rFonts w:hint="eastAsia" w:ascii="Times New Roman" w:hAnsi="Times New Roman" w:cs="Times New Roman"/>
                            <w:color w:val="00B0F0"/>
                            <w:sz w:val="20"/>
                            <w:szCs w:val="20"/>
                          </w:rPr>
                          <w:t>/OL</w:t>
                        </w:r>
                        <w:r>
                          <w:rPr>
                            <w:rFonts w:ascii="Times New Roman" w:hAnsi="Times New Roman" w:cs="Times New Roman"/>
                            <w:color w:val="FF0000"/>
                            <w:sz w:val="20"/>
                            <w:szCs w:val="20"/>
                          </w:rPr>
                          <w:t>]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期刊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名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（本刊要求英文刊名首词和实词的首字母大写），</w:t>
                        </w:r>
                        <w:r>
                          <w:rPr>
                            <w:rFonts w:ascii="Times New Roman" w:cs="Times New Roman"/>
                            <w:color w:val="00B050"/>
                            <w:sz w:val="20"/>
                            <w:szCs w:val="20"/>
                          </w:rPr>
                          <w:t>年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ascii="Times New Roman" w:cs="Times New Roman"/>
                            <w:color w:val="00B050"/>
                            <w:sz w:val="20"/>
                            <w:szCs w:val="20"/>
                          </w:rPr>
                          <w:t>卷（期）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cs="Times New Roman"/>
                            <w:color w:val="00B050"/>
                            <w:sz w:val="20"/>
                            <w:szCs w:val="20"/>
                          </w:rPr>
                          <w:t>页码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ascii="Times New Roman" w:cs="Times New Roman"/>
                            <w:color w:val="00B0F0"/>
                            <w:sz w:val="20"/>
                            <w:szCs w:val="20"/>
                          </w:rPr>
                          <w:t>获取和访问路径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</w:p>
                      <w:p w14:paraId="41A1D62D">
                        <w:pPr>
                          <w:ind w:left="404" w:hanging="404" w:hangingChars="202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[1] 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韩恩厚，王俭秋，吴欣强，等．核电高温高压水中不锈钢和镍基合金的腐蚀机制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[J]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．金属学报，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2010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46 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（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11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）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1379-1391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</w:p>
                      <w:p w14:paraId="421F02BB">
                        <w:pPr>
                          <w:ind w:left="404" w:leftChars="181" w:hanging="24" w:hangingChars="12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Han E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 xml:space="preserve"> H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Wang J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 xml:space="preserve"> Q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Wu X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 xml:space="preserve"> Q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et al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Corrosion mechanisms of stainless steel and nickel base alloys in high temperature high pressure water[J]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Acta Metallurgica Sinica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2010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46 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（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11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）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1379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-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1391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</w:p>
                      <w:p w14:paraId="18E94F38">
                        <w:pPr>
                          <w:ind w:left="404" w:hanging="404" w:hangingChars="202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[2]  Caplan P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Cataloging internet resources[J]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The Public Access Computer Systems Review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1993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4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（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2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）：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61-66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</w:p>
                      <w:p w14:paraId="5F7918AF">
                        <w:pPr>
                          <w:ind w:left="412" w:hanging="412" w:hangingChars="206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[3]  Saito M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Miyazaki K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Jadeite-bearing metagabbro in serpentinite mélange of the 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“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Krosegawa Belt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”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in Izumi Town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Yatsushiro City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Kumamoto Prefecture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central Kyushu[J]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Bulletin of the Geological Survey of Japan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2006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57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（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5/6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）：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169-176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</w:p>
                      <w:p w14:paraId="7D05B561">
                        <w:pP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</w:p>
                      <w:p w14:paraId="4FEBD781">
                        <w:pPr>
                          <w:rPr>
                            <w:rFonts w:ascii="黑体" w:eastAsia="黑体" w:cs="Times New Roman"/>
                            <w:szCs w:val="21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hint="eastAsia" w:ascii="黑体" w:eastAsia="黑体" w:cs="Times New Roman"/>
                            <w:szCs w:val="21"/>
                          </w:rPr>
                          <w:t>（3）图书中的析出文献</w:t>
                        </w:r>
                      </w:p>
                      <w:p w14:paraId="7EC79FA2">
                        <w:pPr>
                          <w:ind w:left="482" w:hanging="482" w:hangingChars="241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[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序号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] </w:t>
                        </w:r>
                        <w:r>
                          <w:rPr>
                            <w:rFonts w:ascii="Times New Roman" w:cs="Times New Roman"/>
                            <w:color w:val="00B050"/>
                            <w:sz w:val="20"/>
                            <w:szCs w:val="20"/>
                          </w:rPr>
                          <w:t xml:space="preserve"> 析出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文献作者主要负责人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析出文献名 [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M</w:t>
                        </w:r>
                        <w:r>
                          <w:rPr>
                            <w:rFonts w:ascii="Times New Roman" w:cs="Times New Roman"/>
                            <w:color w:val="00B0F0"/>
                            <w:sz w:val="20"/>
                            <w:szCs w:val="20"/>
                          </w:rPr>
                          <w:t>/</w:t>
                        </w:r>
                        <w:r>
                          <w:rPr>
                            <w:rFonts w:hint="eastAsia" w:ascii="Times New Roman" w:cs="Times New Roman"/>
                            <w:color w:val="00B0F0"/>
                            <w:sz w:val="20"/>
                            <w:szCs w:val="20"/>
                          </w:rPr>
                          <w:t>OL</w:t>
                        </w:r>
                        <w:r>
                          <w:rPr>
                            <w:rFonts w:ascii="Times New Roman" w:hAnsi="Times New Roman" w:cs="Times New Roman"/>
                            <w:color w:val="FF0000"/>
                            <w:sz w:val="20"/>
                            <w:szCs w:val="20"/>
                          </w:rPr>
                          <w:t>]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．析出其他责任者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//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专著主要责任者．</w:t>
                        </w:r>
                        <w:r>
                          <w:rPr>
                            <w:rFonts w:ascii="Times New Roman" w:cs="Times New Roman"/>
                            <w:color w:val="00B050"/>
                            <w:sz w:val="20"/>
                            <w:szCs w:val="20"/>
                          </w:rPr>
                          <w:t>专著名：其他题名信息．版本项．出版地：出版者，出版年：析出文献页码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ascii="Times New Roman" w:cs="Times New Roman"/>
                            <w:color w:val="00B0F0"/>
                            <w:sz w:val="20"/>
                            <w:szCs w:val="20"/>
                          </w:rPr>
                          <w:t>获取和访问路径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</w:p>
                      <w:p w14:paraId="4E9FD3D8">
                        <w:pPr>
                          <w:ind w:left="500" w:hanging="500" w:hangingChars="250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[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1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] 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  <w:lang w:val="en-US" w:eastAsia="zh-CN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Roberson J A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Berneson E G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Drinking water standards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regulations and goals[M/OL]//American Water Works Association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Water quality &amp; treatment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a handbook on drinking water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6th ed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New York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McGraw-Hill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2011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1.1-1.36．</w:t>
                        </w:r>
                        <w:r>
                          <w:fldChar w:fldCharType="begin"/>
                        </w:r>
                        <w:r>
                          <w:instrText xml:space="preserve"> HYPERLINK "http://lib.myilibrary.com/　Open.aspx?id=291430" </w:instrText>
                        </w:r>
                        <w:r>
                          <w:fldChar w:fldCharType="separate"/>
                        </w:r>
                        <w:r>
                          <w:rPr>
                            <w:rStyle w:val="7"/>
                            <w:rFonts w:ascii="Times New Roman" w:hAnsi="Times New Roman" w:cs="Times New Roman"/>
                            <w:sz w:val="20"/>
                            <w:szCs w:val="20"/>
                          </w:rPr>
                          <w:t>http://lib.myilibrary.com/</w:t>
                        </w:r>
                        <w:r>
                          <w:rPr>
                            <w:rStyle w:val="7"/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　</w:t>
                        </w:r>
                        <w:r>
                          <w:rPr>
                            <w:rStyle w:val="7"/>
                            <w:rFonts w:ascii="Times New Roman" w:hAnsi="Times New Roman" w:cs="Times New Roman"/>
                            <w:sz w:val="20"/>
                            <w:szCs w:val="20"/>
                          </w:rPr>
                          <w:t>Open.aspx?id=291430</w:t>
                        </w:r>
                        <w:r>
                          <w:rPr>
                            <w:rStyle w:val="7"/>
                            <w:rFonts w:ascii="Times New Roman" w:hAnsi="Times New Roman" w:cs="Times New Roman"/>
                            <w:sz w:val="20"/>
                            <w:szCs w:val="20"/>
                          </w:rPr>
                          <w:fldChar w:fldCharType="end"/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．</w:t>
                        </w:r>
                      </w:p>
                      <w:p w14:paraId="13FB7B42">
                        <w:pPr>
                          <w:ind w:left="500" w:leftChars="238"/>
                          <w:rPr>
                            <w:rFonts w:ascii="Times New Roman" w:hAnsi="Times New Roman" w:cs="Times New Roman"/>
                            <w:sz w:val="14"/>
                            <w:szCs w:val="14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阿扬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谈谈记忆：与诺贝尔获奖得者埃里克· 坎德尔的问答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[M].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姜海伦.译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//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《环球科学》杂志社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认识记忆力：关于学习、思考与遗忘的脑科学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北京：机械工业出版社，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2023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15-18.</w:t>
                        </w:r>
                      </w:p>
                      <w:p w14:paraId="7ED392FC">
                        <w:pPr>
                          <w:rPr>
                            <w:rFonts w:ascii="黑体" w:eastAsia="黑体" w:cs="Times New Roman"/>
                            <w:szCs w:val="21"/>
                          </w:rPr>
                        </w:pPr>
                      </w:p>
                      <w:p w14:paraId="1228403B">
                        <w:pPr>
                          <w:rPr>
                            <w:rFonts w:ascii="黑体" w:eastAsia="黑体" w:cs="Times New Roman"/>
                            <w:szCs w:val="21"/>
                          </w:rPr>
                        </w:pPr>
                        <w:r>
                          <w:rPr>
                            <w:rFonts w:ascii="黑体" w:eastAsia="黑体" w:cs="Times New Roman"/>
                            <w:szCs w:val="21"/>
                          </w:rPr>
                          <w:t>（</w:t>
                        </w:r>
                        <w:r>
                          <w:rPr>
                            <w:rFonts w:hint="eastAsia" w:ascii="黑体" w:eastAsia="黑体" w:cs="Times New Roman"/>
                            <w:szCs w:val="21"/>
                          </w:rPr>
                          <w:t>4</w:t>
                        </w:r>
                        <w:r>
                          <w:rPr>
                            <w:rFonts w:ascii="黑体" w:eastAsia="黑体" w:cs="Times New Roman"/>
                            <w:szCs w:val="21"/>
                          </w:rPr>
                          <w:t>）</w:t>
                        </w:r>
                        <w:r>
                          <w:rPr>
                            <w:rFonts w:hint="eastAsia" w:ascii="黑体" w:eastAsia="黑体" w:cs="Times New Roman"/>
                            <w:szCs w:val="21"/>
                          </w:rPr>
                          <w:t>会议录</w:t>
                        </w:r>
                      </w:p>
                      <w:p w14:paraId="056A2526">
                        <w:pPr>
                          <w:autoSpaceDE w:val="0"/>
                          <w:autoSpaceDN w:val="0"/>
                          <w:adjustRightInd w:val="0"/>
                          <w:jc w:val="left"/>
                          <w:rPr>
                            <w:rFonts w:ascii="Times New Roman" w:cs="Times New Roman"/>
                            <w:color w:val="00B0F0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[序号]  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主要责任者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题名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[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C</w:t>
                        </w:r>
                        <w:r>
                          <w:rPr>
                            <w:rFonts w:ascii="Times New Roman" w:cs="Times New Roman"/>
                            <w:color w:val="00B0F0"/>
                            <w:sz w:val="20"/>
                            <w:szCs w:val="20"/>
                          </w:rPr>
                          <w:t>/</w:t>
                        </w:r>
                        <w:r>
                          <w:rPr>
                            <w:rFonts w:hint="eastAsia" w:ascii="Times New Roman" w:cs="Times New Roman"/>
                            <w:color w:val="00B0F0"/>
                            <w:sz w:val="20"/>
                            <w:szCs w:val="20"/>
                          </w:rPr>
                          <w:t>OL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]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//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会议名称，会议年份：引文页码．</w:t>
                        </w:r>
                        <w:r>
                          <w:rPr>
                            <w:rFonts w:hint="eastAsia" w:ascii="Times New Roman" w:cs="Times New Roman"/>
                            <w:color w:val="00B0F0"/>
                            <w:sz w:val="20"/>
                            <w:szCs w:val="20"/>
                          </w:rPr>
                          <w:t>获取和访问路径．</w:t>
                        </w:r>
                      </w:p>
                      <w:p w14:paraId="18B64C65">
                        <w:pPr>
                          <w:autoSpaceDE w:val="0"/>
                          <w:autoSpaceDN w:val="0"/>
                          <w:adjustRightInd w:val="0"/>
                          <w:ind w:left="510" w:hanging="509" w:hangingChars="255"/>
                          <w:jc w:val="left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[1]</w:t>
                        </w:r>
                        <w:r>
                          <w:rPr>
                            <w:rFonts w:hint="eastAsia"/>
                            <w:sz w:val="24"/>
                            <w:szCs w:val="24"/>
                          </w:rPr>
                          <w:t xml:space="preserve">  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肖希明，石庆功，刘奕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民国图书馆学教育的社会贡献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[C]//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纪念北京大学图书馆学教育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100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周年研讨会论文集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北京：北京大学信息管理系，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2024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134-147.</w:t>
                        </w:r>
                      </w:p>
                      <w:p w14:paraId="3A350730">
                        <w:pPr>
                          <w:autoSpaceDE w:val="0"/>
                          <w:autoSpaceDN w:val="0"/>
                          <w:adjustRightInd w:val="0"/>
                          <w:ind w:left="454" w:hanging="454" w:hangingChars="227"/>
                          <w:jc w:val="left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 xml:space="preserve">[2] 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牛志明，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Swingland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I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R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，雷光春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综合湿地管理：综合湿地管理国际研讨会论文集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[C].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北京：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海洋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出版社，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2012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.</w:t>
                        </w:r>
                      </w:p>
                      <w:p w14:paraId="6BAEA346">
                        <w:pPr>
                          <w:autoSpaceDE w:val="0"/>
                          <w:autoSpaceDN w:val="0"/>
                          <w:adjustRightInd w:val="0"/>
                          <w:ind w:left="446" w:hanging="446" w:hangingChars="223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[3] 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Wang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S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S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Application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of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improved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SOM neural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network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in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intelligent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auditing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of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Hospital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financial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vouchers[C/OL]//20226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th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Asian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Conference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on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Artificial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Intelligence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Technology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2022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2.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https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//ieeexplore.ieee.org/document/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10137867.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DOI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10.1109/ACAIT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56212.2022.10137867.</w:t>
                        </w:r>
                      </w:p>
                      <w:p w14:paraId="681F3B99">
                        <w:pPr>
                          <w:rPr>
                            <w:rFonts w:ascii="黑体" w:eastAsia="黑体" w:cs="Times New Roman"/>
                            <w:szCs w:val="21"/>
                          </w:rPr>
                        </w:pPr>
                      </w:p>
                      <w:p w14:paraId="00D66C38">
                        <w:pPr>
                          <w:rPr>
                            <w:rFonts w:ascii="黑体" w:eastAsia="黑体" w:cs="Times New Roman"/>
                            <w:szCs w:val="21"/>
                          </w:rPr>
                        </w:pPr>
                        <w:r>
                          <w:rPr>
                            <w:rFonts w:hint="eastAsia" w:ascii="黑体" w:eastAsia="黑体" w:cs="Times New Roman"/>
                            <w:szCs w:val="21"/>
                          </w:rPr>
                          <w:t>（5）学位论文</w:t>
                        </w:r>
                      </w:p>
                      <w:p w14:paraId="4D717A74">
                        <w:pPr>
                          <w:autoSpaceDE w:val="0"/>
                          <w:autoSpaceDN w:val="0"/>
                          <w:adjustRightInd w:val="0"/>
                          <w:ind w:left="398" w:hanging="398" w:hangingChars="199"/>
                          <w:jc w:val="left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[序号]  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主要责任者．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题名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[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D</w:t>
                        </w:r>
                        <w:r>
                          <w:rPr>
                            <w:rFonts w:ascii="Times New Roman" w:cs="Times New Roman"/>
                            <w:color w:val="00B0F0"/>
                            <w:sz w:val="20"/>
                            <w:szCs w:val="20"/>
                          </w:rPr>
                          <w:t>/</w:t>
                        </w:r>
                        <w:r>
                          <w:rPr>
                            <w:rFonts w:hint="eastAsia" w:ascii="Times New Roman" w:cs="Times New Roman"/>
                            <w:color w:val="00B0F0"/>
                            <w:sz w:val="20"/>
                            <w:szCs w:val="20"/>
                          </w:rPr>
                          <w:t>OL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]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学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位授予单位所在地：学位授予单位，学位授予年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引文页码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hint="eastAsia" w:ascii="Times New Roman" w:cs="Times New Roman"/>
                            <w:color w:val="00B0F0"/>
                            <w:sz w:val="20"/>
                            <w:szCs w:val="20"/>
                          </w:rPr>
                          <w:t>获取和访问路径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</w:t>
                        </w:r>
                      </w:p>
                      <w:p w14:paraId="244640EA">
                        <w:pPr>
                          <w:autoSpaceDE w:val="0"/>
                          <w:autoSpaceDN w:val="0"/>
                          <w:adjustRightInd w:val="0"/>
                          <w:ind w:left="446" w:hanging="446" w:hangingChars="223"/>
                          <w:jc w:val="left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[1]  王琦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融合星载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GNSS-R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和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SAR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数据的高时空分辨率土壤湿度反演方法研究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[D].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武汉：武汉大学，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2022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87.</w:t>
                        </w:r>
                      </w:p>
                      <w:p w14:paraId="48C68510">
                        <w:pPr>
                          <w:autoSpaceDE w:val="0"/>
                          <w:autoSpaceDN w:val="0"/>
                          <w:adjustRightInd w:val="0"/>
                          <w:ind w:left="446" w:hanging="446" w:hangingChars="223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[2] 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Christou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A.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Improving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knowledge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graph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understanding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with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contextual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views[D/OL].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Ohio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Wright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State University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2024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18.http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bookmarkStart w:id="2" w:name="_GoBack"/>
                        <w:bookmarkEnd w:id="2"/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//rave.ohiolink.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edu/etdc/view?acc_num =wright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1715878159408301.</w:t>
                        </w:r>
                      </w:p>
                      <w:p w14:paraId="07B17AC3">
                        <w:pPr>
                          <w:autoSpaceDE w:val="0"/>
                          <w:autoSpaceDN w:val="0"/>
                          <w:adjustRightInd w:val="0"/>
                          <w:jc w:val="left"/>
                          <w:rPr>
                            <w:rFonts w:ascii="Times New Roman" w:cs="Times New Roman"/>
                            <w:color w:val="00B050"/>
                            <w:sz w:val="20"/>
                            <w:szCs w:val="20"/>
                          </w:rPr>
                        </w:pPr>
                      </w:p>
                      <w:p w14:paraId="2C9C5553">
                        <w:pPr>
                          <w:autoSpaceDE w:val="0"/>
                          <w:autoSpaceDN w:val="0"/>
                          <w:adjustRightInd w:val="0"/>
                          <w:jc w:val="left"/>
                          <w:rPr>
                            <w:rFonts w:ascii="黑体" w:eastAsia="黑体" w:cs="Times New Roman"/>
                            <w:szCs w:val="21"/>
                          </w:rPr>
                        </w:pPr>
                        <w:r>
                          <w:rPr>
                            <w:rFonts w:hint="eastAsia" w:ascii="黑体" w:eastAsia="黑体" w:cs="Times New Roman"/>
                            <w:szCs w:val="21"/>
                          </w:rPr>
                          <w:t>（6）报告</w:t>
                        </w:r>
                      </w:p>
                      <w:p w14:paraId="2D3BDD4C">
                        <w:pPr>
                          <w:autoSpaceDE w:val="0"/>
                          <w:autoSpaceDN w:val="0"/>
                          <w:adjustRightInd w:val="0"/>
                          <w:jc w:val="left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[序号]  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主要责任者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题名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：报告编号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[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R</w:t>
                        </w:r>
                        <w:r>
                          <w:rPr>
                            <w:rFonts w:ascii="Times New Roman" w:cs="Times New Roman"/>
                            <w:color w:val="00B0F0"/>
                            <w:sz w:val="20"/>
                            <w:szCs w:val="20"/>
                          </w:rPr>
                          <w:t>/</w:t>
                        </w:r>
                        <w:r>
                          <w:rPr>
                            <w:rFonts w:hint="eastAsia" w:ascii="Times New Roman" w:cs="Times New Roman"/>
                            <w:color w:val="00B0F0"/>
                            <w:sz w:val="20"/>
                            <w:szCs w:val="20"/>
                          </w:rPr>
                          <w:t>OL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]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发布日期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引文页码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hint="eastAsia" w:ascii="Times New Roman" w:cs="Times New Roman"/>
                            <w:color w:val="00B0F0"/>
                            <w:sz w:val="20"/>
                            <w:szCs w:val="20"/>
                          </w:rPr>
                          <w:t>获取和访问路径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</w:t>
                        </w:r>
                      </w:p>
                      <w:p w14:paraId="3114D6F8">
                        <w:pPr>
                          <w:autoSpaceDE w:val="0"/>
                          <w:autoSpaceDN w:val="0"/>
                          <w:adjustRightInd w:val="0"/>
                          <w:ind w:left="446" w:hanging="446" w:hangingChars="223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[1]  中国互联网络信息中心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第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29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次中国互联网络发展状况统计报告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[R/OL].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2012-01-16.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fldChar w:fldCharType="begin"/>
                        </w:r>
                        <w:r>
                          <w:instrText xml:space="preserve"> HYPERLINK "https://www.cnnic.net.cn/NMediaFile/old_attach/P020120612484958777344.pdf" </w:instrText>
                        </w:r>
                        <w:r>
                          <w:fldChar w:fldCharType="separate"/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https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//www.cnnic.net.cn/NMediaFile/old_attach/P0201206124849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58777344.pdf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fldChar w:fldCharType="end"/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.</w:t>
                        </w:r>
                      </w:p>
                      <w:p w14:paraId="7BBA06B1">
                        <w:pPr>
                          <w:autoSpaceDE w:val="0"/>
                          <w:autoSpaceDN w:val="0"/>
                          <w:adjustRightInd w:val="0"/>
                          <w:ind w:left="354" w:hanging="354" w:hangingChars="177"/>
                          <w:jc w:val="left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[2] 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U.S.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Department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of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Transportation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Federal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Highway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Administration.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Guidelines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for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handling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excavatedacid-producingmaterials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PB91-194001 [R].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Springfield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U.S.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Department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of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Commerce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National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Information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Service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1990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25.</w:t>
                        </w:r>
                      </w:p>
                      <w:p w14:paraId="2058D28E">
                        <w:pPr>
                          <w:autoSpaceDE w:val="0"/>
                          <w:autoSpaceDN w:val="0"/>
                          <w:adjustRightInd w:val="0"/>
                          <w:jc w:val="left"/>
                          <w:rPr>
                            <w:rFonts w:ascii="黑体" w:eastAsia="黑体" w:cs="Times New Roman"/>
                            <w:szCs w:val="21"/>
                          </w:rPr>
                        </w:pPr>
                      </w:p>
                      <w:p w14:paraId="461EDFD5">
                        <w:pPr>
                          <w:autoSpaceDE w:val="0"/>
                          <w:autoSpaceDN w:val="0"/>
                          <w:adjustRightInd w:val="0"/>
                          <w:jc w:val="left"/>
                          <w:rPr>
                            <w:rFonts w:ascii="黑体" w:eastAsia="黑体" w:cs="Times New Roman"/>
                            <w:szCs w:val="21"/>
                          </w:rPr>
                        </w:pPr>
                        <w:r>
                          <w:rPr>
                            <w:rFonts w:hint="eastAsia" w:ascii="黑体" w:eastAsia="黑体" w:cs="Times New Roman"/>
                            <w:szCs w:val="21"/>
                          </w:rPr>
                          <w:t>（7）标准</w:t>
                        </w:r>
                      </w:p>
                      <w:p w14:paraId="0F3E7B6A">
                        <w:pPr>
                          <w:autoSpaceDE w:val="0"/>
                          <w:autoSpaceDN w:val="0"/>
                          <w:adjustRightInd w:val="0"/>
                          <w:jc w:val="left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[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序号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]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 xml:space="preserve">  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标准编号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标准名称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[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S</w:t>
                        </w:r>
                        <w:r>
                          <w:rPr>
                            <w:rFonts w:ascii="Times New Roman" w:cs="Times New Roman"/>
                            <w:color w:val="00B0F0"/>
                            <w:sz w:val="20"/>
                            <w:szCs w:val="20"/>
                          </w:rPr>
                          <w:t>/</w:t>
                        </w:r>
                        <w:r>
                          <w:rPr>
                            <w:rFonts w:hint="eastAsia" w:ascii="Times New Roman" w:cs="Times New Roman"/>
                            <w:color w:val="00B0F0"/>
                            <w:sz w:val="20"/>
                            <w:szCs w:val="20"/>
                          </w:rPr>
                          <w:t>OL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]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hint="eastAsia" w:ascii="Times New Roman" w:cs="Times New Roman"/>
                            <w:color w:val="00B0F0"/>
                            <w:sz w:val="20"/>
                            <w:szCs w:val="20"/>
                          </w:rPr>
                          <w:t>获取和访问路径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</w:t>
                        </w:r>
                      </w:p>
                      <w:p w14:paraId="6C113E5B">
                        <w:pPr>
                          <w:autoSpaceDE w:val="0"/>
                          <w:autoSpaceDN w:val="0"/>
                          <w:adjustRightInd w:val="0"/>
                          <w:ind w:left="354" w:hanging="354" w:hangingChars="177"/>
                          <w:jc w:val="left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[1] 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GB/T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3792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—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 xml:space="preserve">2021 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信息与文献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资源描述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[S]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.</w:t>
                        </w:r>
                      </w:p>
                      <w:p w14:paraId="39D88FD8">
                        <w:pPr>
                          <w:autoSpaceDE w:val="0"/>
                          <w:autoSpaceDN w:val="0"/>
                          <w:adjustRightInd w:val="0"/>
                          <w:ind w:left="446" w:hanging="446" w:hangingChars="223"/>
                          <w:jc w:val="left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[2] 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GB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18030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—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 xml:space="preserve">2022 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信息技术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中文编码字符集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[S/OL].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http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：/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 xml:space="preserve"> /c.gb688.cn/bzgk/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gb/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showGb? type=online&amp;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h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cno=A1931A578FE14957104988029B0833D3.</w:t>
                        </w:r>
                      </w:p>
                      <w:p w14:paraId="5B276843">
                        <w:pPr>
                          <w:autoSpaceDE w:val="0"/>
                          <w:autoSpaceDN w:val="0"/>
                          <w:adjustRightInd w:val="0"/>
                          <w:jc w:val="left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</w:p>
                      <w:p w14:paraId="096FCBA4">
                        <w:pPr>
                          <w:autoSpaceDE w:val="0"/>
                          <w:autoSpaceDN w:val="0"/>
                          <w:adjustRightInd w:val="0"/>
                          <w:jc w:val="left"/>
                          <w:rPr>
                            <w:rFonts w:ascii="黑体" w:eastAsia="黑体" w:cs="Times New Roman"/>
                            <w:szCs w:val="21"/>
                          </w:rPr>
                        </w:pPr>
                        <w:r>
                          <w:rPr>
                            <w:rFonts w:hint="eastAsia" w:ascii="黑体" w:eastAsia="黑体" w:cs="Times New Roman"/>
                            <w:szCs w:val="21"/>
                          </w:rPr>
                          <w:t>（8）专利</w:t>
                        </w:r>
                      </w:p>
                      <w:p w14:paraId="64FB1D6C">
                        <w:pPr>
                          <w:ind w:left="800" w:hanging="800" w:hangingChars="400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[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序号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]  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专利申请者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/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所有者．题名：专利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申请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号</w:t>
                        </w:r>
                        <w:r>
                          <w:rPr>
                            <w:rFonts w:ascii="Times New Roman" w:hAnsi="Times New Roman" w:cs="Times New Roman"/>
                            <w:color w:val="FF0000"/>
                            <w:sz w:val="20"/>
                            <w:szCs w:val="20"/>
                          </w:rPr>
                          <w:t>[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P</w:t>
                        </w:r>
                        <w:r>
                          <w:rPr>
                            <w:rFonts w:ascii="Times New Roman" w:cs="Times New Roman"/>
                            <w:color w:val="00B0F0"/>
                            <w:sz w:val="20"/>
                            <w:szCs w:val="20"/>
                          </w:rPr>
                          <w:t>/</w:t>
                        </w:r>
                        <w:r>
                          <w:rPr>
                            <w:rFonts w:hint="eastAsia" w:ascii="Times New Roman" w:cs="Times New Roman"/>
                            <w:color w:val="00B0F0"/>
                            <w:sz w:val="20"/>
                            <w:szCs w:val="20"/>
                          </w:rPr>
                          <w:t>OL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]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ascii="Times New Roman" w:cs="Times New Roman"/>
                            <w:color w:val="00B050"/>
                            <w:sz w:val="20"/>
                            <w:szCs w:val="20"/>
                          </w:rPr>
                          <w:t>公告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（</w:t>
                        </w:r>
                        <w:r>
                          <w:rPr>
                            <w:rFonts w:ascii="Times New Roman" w:cs="Times New Roman"/>
                            <w:color w:val="00B050"/>
                            <w:sz w:val="20"/>
                            <w:szCs w:val="20"/>
                          </w:rPr>
                          <w:t>公开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）</w:t>
                        </w:r>
                        <w:r>
                          <w:rPr>
                            <w:rFonts w:ascii="Times New Roman" w:cs="Times New Roman"/>
                            <w:color w:val="00B050"/>
                            <w:sz w:val="20"/>
                            <w:szCs w:val="20"/>
                          </w:rPr>
                          <w:t>日期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引文页码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ascii="Times New Roman" w:cs="Times New Roman"/>
                            <w:color w:val="00B0F0"/>
                            <w:sz w:val="20"/>
                            <w:szCs w:val="20"/>
                          </w:rPr>
                          <w:t>获取和访问路径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 xml:space="preserve">． </w:t>
                        </w:r>
                      </w:p>
                      <w:p w14:paraId="0A981D04">
                        <w:pPr>
                          <w:ind w:left="446" w:leftChars="1" w:hanging="444" w:hangingChars="222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[1] Koseki A，Momose H，Kawahito M，et al．Compiler：US828402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[P/OL]．2002-05-25[2002-05-28]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fldChar w:fldCharType="begin"/>
                        </w:r>
                        <w:r>
                          <w:instrText xml:space="preserve"> HYPERLINK "http://FF&amp;p=1&amp;u=netahtml/PTO/search-boot.html&amp;r=5&amp;f=G&amp;l=50&amp;col=AND&amp;d=PG01&amp;sl=IBM.AS.&amp;OS=AN/BIM/RS=AN/BIM" </w:instrText>
                        </w:r>
                        <w:r>
                          <w:fldChar w:fldCharType="separate"/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http://FF&amp;p=1&amp;u=netahtml/PTO/search-boot.html&amp;r=5&amp;f=G&amp;l=50&amp;col=AND&amp;d=PG01&amp;sl=IBM.AS.&amp;OS=AN/BIM/RS=AN/BIM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fldChar w:fldCharType="end"/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</w:p>
                      <w:p w14:paraId="21E3D94E">
                        <w:pPr>
                          <w:ind w:left="446" w:leftChars="1" w:hanging="444" w:hangingChars="222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[2]  邓一刚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全智能节电器：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CN200610171314.3[P].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2008-01-16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8-9.</w:t>
                        </w:r>
                      </w:p>
                      <w:p w14:paraId="23B0FFDA">
                        <w:pPr>
                          <w:ind w:left="446" w:leftChars="1" w:hanging="444" w:hangingChars="222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</w:p>
                      <w:p w14:paraId="2609C5AD">
                        <w:pPr>
                          <w:autoSpaceDE w:val="0"/>
                          <w:autoSpaceDN w:val="0"/>
                          <w:adjustRightInd w:val="0"/>
                          <w:jc w:val="left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黑体" w:eastAsia="黑体" w:cs="Times New Roman"/>
                            <w:szCs w:val="21"/>
                          </w:rPr>
                          <w:t>（</w:t>
                        </w:r>
                        <w:r>
                          <w:rPr>
                            <w:rFonts w:hint="eastAsia" w:ascii="黑体" w:eastAsia="黑体" w:cs="Times New Roman"/>
                            <w:szCs w:val="21"/>
                          </w:rPr>
                          <w:t>9</w:t>
                        </w:r>
                        <w:r>
                          <w:rPr>
                            <w:rFonts w:ascii="黑体" w:eastAsia="黑体" w:cs="Times New Roman"/>
                            <w:szCs w:val="21"/>
                          </w:rPr>
                          <w:t>）</w:t>
                        </w:r>
                        <w:r>
                          <w:rPr>
                            <w:rFonts w:hint="eastAsia" w:ascii="黑体" w:eastAsia="黑体" w:cs="Times New Roman"/>
                            <w:szCs w:val="21"/>
                          </w:rPr>
                          <w:t>网站、网页</w:t>
                        </w:r>
                      </w:p>
                      <w:p w14:paraId="4B47DA65">
                        <w:pPr>
                          <w:ind w:left="730" w:hanging="730" w:hangingChars="365"/>
                          <w:rPr>
                            <w:rFonts w:ascii="黑体" w:eastAsia="黑体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[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序号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]  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主要责任者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题名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[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EB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/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OL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]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（创建或修改日期）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[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引用日期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]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获取和访问路径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ascii="黑体" w:eastAsia="黑体" w:cs="Times New Roman"/>
                            <w:sz w:val="20"/>
                            <w:szCs w:val="20"/>
                          </w:rPr>
                          <w:t xml:space="preserve"> </w:t>
                        </w:r>
                      </w:p>
                      <w:p w14:paraId="4EDE6FF8">
                        <w:pPr>
                          <w:ind w:left="400" w:hanging="400" w:hangingChars="200"/>
                          <w:jc w:val="left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[1]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 xml:space="preserve">  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Bawden D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Origins and concept of digital literacy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[EB/OL]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（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200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8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-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05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-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04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）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[20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13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-0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3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-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08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]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http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//www.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soi.city.ac.uk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/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~dbawden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/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digital%20literacy%20chapter.pdf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．</w:t>
                        </w:r>
                      </w:p>
                      <w:p w14:paraId="4B6D51B9">
                        <w:pPr>
                          <w:ind w:left="420" w:hanging="420" w:hangingChars="200"/>
                          <w:jc w:val="left"/>
                          <w:rPr>
                            <w:rFonts w:ascii="黑体" w:eastAsia="黑体" w:cs="Times New Roman"/>
                            <w:szCs w:val="21"/>
                          </w:rPr>
                        </w:pPr>
                      </w:p>
                      <w:p w14:paraId="455C78D9">
                        <w:pPr>
                          <w:ind w:left="420" w:hanging="420" w:hangingChars="200"/>
                          <w:jc w:val="left"/>
                          <w:rPr>
                            <w:rFonts w:ascii="黑体" w:eastAsia="黑体" w:cs="Times New Roman"/>
                            <w:szCs w:val="21"/>
                          </w:rPr>
                        </w:pPr>
                        <w:r>
                          <w:rPr>
                            <w:rFonts w:hint="eastAsia" w:ascii="黑体" w:eastAsia="黑体" w:cs="Times New Roman"/>
                            <w:szCs w:val="21"/>
                          </w:rPr>
                          <w:t>（10）数据集</w:t>
                        </w:r>
                      </w:p>
                      <w:p w14:paraId="7241F690">
                        <w:pPr>
                          <w:autoSpaceDE w:val="0"/>
                          <w:autoSpaceDN w:val="0"/>
                          <w:adjustRightInd w:val="0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[序号]  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主要责任者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题名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[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DS</w:t>
                        </w:r>
                        <w:r>
                          <w:rPr>
                            <w:rFonts w:ascii="Times New Roman" w:cs="Times New Roman"/>
                            <w:color w:val="00B0F0"/>
                            <w:sz w:val="20"/>
                            <w:szCs w:val="20"/>
                          </w:rPr>
                          <w:t>/</w:t>
                        </w:r>
                        <w:r>
                          <w:rPr>
                            <w:rFonts w:hint="eastAsia" w:ascii="Times New Roman" w:cs="Times New Roman"/>
                            <w:color w:val="00B0F0"/>
                            <w:sz w:val="20"/>
                            <w:szCs w:val="20"/>
                          </w:rPr>
                          <w:t>OL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]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．版本．发布平台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（发布或修改日期）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[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引用日期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]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hint="eastAsia" w:ascii="Times New Roman" w:cs="Times New Roman"/>
                            <w:color w:val="00B0F0"/>
                            <w:sz w:val="20"/>
                            <w:szCs w:val="20"/>
                          </w:rPr>
                          <w:t>获取和访问路径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</w:t>
                        </w:r>
                      </w:p>
                      <w:p w14:paraId="266A4C40">
                        <w:pPr>
                          <w:autoSpaceDE w:val="0"/>
                          <w:autoSpaceDN w:val="0"/>
                          <w:adjustRightInd w:val="0"/>
                          <w:ind w:left="440" w:hanging="440" w:hangingChars="220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[1]  刘时银，郭万钦，许君利．中国第二次水川编目科学数据：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2006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—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2011[DS/OL].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V1.0.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国家青藏高原科学数据中心（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2012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）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[2025-07-15].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https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//poles.tpdc.ac.cn/zh-hans/data/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f92a4346-a33f-497d-9470-2b357ccb4246/.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DOI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10.3972/alacier001.2013.db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.</w:t>
                        </w:r>
                      </w:p>
                      <w:p w14:paraId="3E5EF268">
                        <w:pPr>
                          <w:autoSpaceDE w:val="0"/>
                          <w:autoSpaceDN w:val="0"/>
                          <w:adjustRightInd w:val="0"/>
                          <w:jc w:val="left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</w:p>
                      <w:p w14:paraId="75D6B444">
                        <w:pPr>
                          <w:ind w:left="420" w:hanging="420" w:hangingChars="200"/>
                          <w:jc w:val="left"/>
                          <w:rPr>
                            <w:rFonts w:ascii="黑体" w:eastAsia="黑体" w:cs="Times New Roman"/>
                            <w:szCs w:val="21"/>
                          </w:rPr>
                        </w:pPr>
                        <w:r>
                          <w:rPr>
                            <w:rFonts w:hint="eastAsia" w:ascii="黑体" w:eastAsia="黑体" w:cs="Times New Roman"/>
                            <w:szCs w:val="21"/>
                          </w:rPr>
                          <w:t>（11）预印本</w:t>
                        </w:r>
                      </w:p>
                      <w:p w14:paraId="2DCA33EE">
                        <w:pPr>
                          <w:autoSpaceDE w:val="0"/>
                          <w:autoSpaceDN w:val="0"/>
                          <w:adjustRightInd w:val="0"/>
                          <w:jc w:val="left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[序号]  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主要责任者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题名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[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PP</w:t>
                        </w:r>
                        <w:r>
                          <w:rPr>
                            <w:rFonts w:ascii="Times New Roman" w:cs="Times New Roman"/>
                            <w:color w:val="00B0F0"/>
                            <w:sz w:val="20"/>
                            <w:szCs w:val="20"/>
                          </w:rPr>
                          <w:t>/</w:t>
                        </w:r>
                        <w:r>
                          <w:rPr>
                            <w:rFonts w:hint="eastAsia" w:ascii="Times New Roman" w:cs="Times New Roman"/>
                            <w:color w:val="00B0F0"/>
                            <w:sz w:val="20"/>
                            <w:szCs w:val="20"/>
                          </w:rPr>
                          <w:t>OL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]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版本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．出版平台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（发布或修改日期）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[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引用日期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]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获取和访问路径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</w:t>
                        </w:r>
                      </w:p>
                      <w:p w14:paraId="2BAE1F54">
                        <w:pPr>
                          <w:autoSpaceDE w:val="0"/>
                          <w:autoSpaceDN w:val="0"/>
                          <w:adjustRightInd w:val="0"/>
                          <w:ind w:left="440" w:hanging="440" w:hangingChars="220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[1]  方向明，曹迎杰．元宇宙在图书馆的应用：理论研究与实践进展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[PP/OL].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ChinaXiv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（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2023-03-03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）[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2024-09-30]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．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http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//www.chinaxiv.org/abs/202303.00020.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CSTR:32003.36.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ChinaXiv.202303.00020.V1.</w:t>
                        </w:r>
                      </w:p>
                      <w:p w14:paraId="6036BD11">
                        <w:pPr>
                          <w:autoSpaceDE w:val="0"/>
                          <w:autoSpaceDN w:val="0"/>
                          <w:adjustRightInd w:val="0"/>
                          <w:jc w:val="left"/>
                          <w:rPr>
                            <w:rFonts w:ascii="黑体" w:eastAsia="黑体" w:cs="Times New Roman"/>
                            <w:szCs w:val="21"/>
                          </w:rPr>
                        </w:pPr>
                      </w:p>
                      <w:p w14:paraId="69D10B59">
                        <w:pPr>
                          <w:rPr>
                            <w:rFonts w:ascii="Times New Roman" w:hAnsi="Times New Roman" w:eastAsia="华文楷体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hint="eastAsia" w:ascii="Times New Roman" w:hAnsi="Times New Roman" w:eastAsia="华文楷体" w:cs="Times New Roman"/>
                            <w:sz w:val="24"/>
                            <w:szCs w:val="24"/>
                          </w:rPr>
                          <w:t>5</w:t>
                        </w:r>
                        <w:r>
                          <w:rPr>
                            <w:rFonts w:ascii="Times New Roman" w:hAnsi="Times New Roman" w:eastAsia="华文楷体" w:cs="Times New Roman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rFonts w:ascii="Times New Roman" w:hAnsi="华文楷体" w:eastAsia="华文楷体" w:cs="Times New Roman"/>
                            <w:sz w:val="24"/>
                            <w:szCs w:val="24"/>
                          </w:rPr>
                          <w:t>著录项目及著录细则</w:t>
                        </w:r>
                      </w:p>
                      <w:p w14:paraId="29C2EF0E">
                        <w:pP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黑体" w:eastAsia="黑体" w:cs="Times New Roman"/>
                            <w:sz w:val="20"/>
                            <w:szCs w:val="20"/>
                          </w:rPr>
                          <w:t>（1）</w:t>
                        </w:r>
                        <w:r>
                          <w:rPr>
                            <w:rFonts w:hint="eastAsia" w:ascii="黑体" w:eastAsia="黑体" w:cs="Times New Roman"/>
                            <w:sz w:val="20"/>
                            <w:szCs w:val="20"/>
                          </w:rPr>
                          <w:t>主要责任者（作者）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：中外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作者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一律采用姓前名后著录。无论中外姓全部著录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且首字母大写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，欧美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作者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的名可用缩写字母，省略缩写点。汉语拼音书写的人名可缩写为每个汉字拼音的首字母，字母之间空一格。三个以上作者只列三个，后面加</w:t>
                        </w:r>
                        <w:r>
                          <w:rPr>
                            <w:rFonts w:cs="Times New Roman" w:asciiTheme="minorEastAsia" w:hAnsiTheme="minorEastAsia"/>
                            <w:sz w:val="20"/>
                            <w:szCs w:val="20"/>
                          </w:rPr>
                          <w:t>“，等”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表示（英文</w:t>
                        </w:r>
                        <w:r>
                          <w:rPr>
                            <w:rFonts w:cs="Times New Roman" w:asciiTheme="minorEastAsia" w:hAnsiTheme="minorEastAsia"/>
                            <w:sz w:val="20"/>
                            <w:szCs w:val="20"/>
                          </w:rPr>
                          <w:t>“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cs="Times New Roman" w:asciiTheme="minorEastAsia" w:hAnsiTheme="minorEastAsia"/>
                            <w:sz w:val="20"/>
                            <w:szCs w:val="20"/>
                          </w:rPr>
                          <w:t>et al”）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。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作者为国外机关团体的，首词和实词的首字母大写。</w:t>
                        </w:r>
                      </w:p>
                      <w:p w14:paraId="4799B888">
                        <w:pP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黑体" w:eastAsia="黑体" w:cs="Times New Roman"/>
                            <w:sz w:val="20"/>
                            <w:szCs w:val="20"/>
                          </w:rPr>
                          <w:t>（2）题名</w:t>
                        </w:r>
                        <w:r>
                          <w:rPr>
                            <w:rFonts w:hint="eastAsia" w:ascii="黑体" w:eastAsia="黑体" w:cs="Times New Roman"/>
                            <w:sz w:val="20"/>
                            <w:szCs w:val="20"/>
                          </w:rPr>
                          <w:t>（文献名）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：英文</w:t>
                        </w:r>
                        <w:r>
                          <w:rPr>
                            <w:rFonts w:ascii="Times New Roman" w:cs="Times New Roman"/>
                            <w:b/>
                            <w:sz w:val="20"/>
                            <w:szCs w:val="20"/>
                          </w:rPr>
                          <w:t>论文集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题名项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首词和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实词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的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首字母大写，其他题名项只首词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的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首字母大写。</w:t>
                        </w:r>
                      </w:p>
                      <w:p w14:paraId="4797DE36">
                        <w:pP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黑体" w:eastAsia="黑体" w:cs="Times New Roman"/>
                            <w:sz w:val="20"/>
                            <w:szCs w:val="20"/>
                          </w:rPr>
                          <w:t>（3）文献类型标识和文献载体标识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：置于方括号。电子资源既要著录文献类型标识，也要著录文献载体标识，文献类型标识和文献载体标识之间用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“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/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”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隔开。</w:t>
                        </w:r>
                      </w:p>
                      <w:p w14:paraId="626D119C">
                        <w:pP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黑体" w:eastAsia="黑体" w:cs="Times New Roman"/>
                            <w:sz w:val="20"/>
                            <w:szCs w:val="20"/>
                          </w:rPr>
                          <w:t>（</w:t>
                        </w:r>
                        <w:r>
                          <w:rPr>
                            <w:rFonts w:hint="eastAsia" w:ascii="黑体" w:eastAsia="黑体" w:cs="Times New Roman"/>
                            <w:sz w:val="20"/>
                            <w:szCs w:val="20"/>
                          </w:rPr>
                          <w:t>4</w:t>
                        </w:r>
                        <w:r>
                          <w:rPr>
                            <w:rFonts w:ascii="黑体" w:eastAsia="黑体" w:cs="Times New Roman"/>
                            <w:sz w:val="20"/>
                            <w:szCs w:val="20"/>
                          </w:rPr>
                          <w:t>）出版日期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出版年采用公元纪年，用阿拉伯数字著录。</w:t>
                        </w:r>
                      </w:p>
                      <w:p w14:paraId="5F0B1BC4">
                        <w:pP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黑体" w:eastAsia="黑体" w:cs="Times New Roman"/>
                            <w:sz w:val="20"/>
                            <w:szCs w:val="20"/>
                          </w:rPr>
                          <w:t>（</w:t>
                        </w:r>
                        <w:r>
                          <w:rPr>
                            <w:rFonts w:hint="eastAsia" w:ascii="黑体" w:eastAsia="黑体" w:cs="Times New Roman"/>
                            <w:sz w:val="20"/>
                            <w:szCs w:val="20"/>
                          </w:rPr>
                          <w:t>5</w:t>
                        </w:r>
                        <w:r>
                          <w:rPr>
                            <w:rFonts w:ascii="黑体" w:eastAsia="黑体" w:cs="Times New Roman"/>
                            <w:sz w:val="20"/>
                            <w:szCs w:val="20"/>
                          </w:rPr>
                          <w:t>）公告日期、更新日期、引用日期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专利文献的公告日期或公开日期按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“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YYYY-MM-DD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”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格式，用阿拉伯数字著录。电子资源的更新或修改日期、引用日期按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“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YYYY-MM-DD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”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格式，用阿拉伯数字著录。</w:t>
                        </w:r>
                      </w:p>
                      <w:p w14:paraId="5DD749E7">
                        <w:pP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黑体" w:eastAsia="黑体" w:cs="Times New Roman"/>
                            <w:sz w:val="20"/>
                            <w:szCs w:val="20"/>
                          </w:rPr>
                          <w:t>（</w:t>
                        </w:r>
                        <w:r>
                          <w:rPr>
                            <w:rFonts w:hint="eastAsia" w:ascii="黑体" w:eastAsia="黑体" w:cs="Times New Roman"/>
                            <w:sz w:val="20"/>
                            <w:szCs w:val="20"/>
                          </w:rPr>
                          <w:t>6</w:t>
                        </w:r>
                        <w:r>
                          <w:rPr>
                            <w:rFonts w:ascii="黑体" w:eastAsia="黑体" w:cs="Times New Roman"/>
                            <w:sz w:val="20"/>
                            <w:szCs w:val="20"/>
                          </w:rPr>
                          <w:t>）获取和访问路径（电子资源必备）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：根据电子资源在互联网中的实际情况，著录其获取和访问路径。</w:t>
                        </w:r>
                      </w:p>
                      <w:p w14:paraId="6B643799">
                        <w:pP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黑体" w:eastAsia="黑体" w:cs="Times New Roman"/>
                            <w:sz w:val="20"/>
                            <w:szCs w:val="20"/>
                          </w:rPr>
                          <w:t>（</w:t>
                        </w:r>
                        <w:r>
                          <w:rPr>
                            <w:rFonts w:hint="eastAsia" w:ascii="黑体" w:eastAsia="黑体" w:cs="Times New Roman"/>
                            <w:sz w:val="20"/>
                            <w:szCs w:val="20"/>
                          </w:rPr>
                          <w:t>7</w:t>
                        </w:r>
                        <w:r>
                          <w:rPr>
                            <w:rFonts w:ascii="黑体" w:eastAsia="黑体" w:cs="Times New Roman"/>
                            <w:sz w:val="20"/>
                            <w:szCs w:val="20"/>
                          </w:rPr>
                          <w:t>）</w:t>
                        </w:r>
                        <w:r>
                          <w:rPr>
                            <w:rFonts w:hint="eastAsia" w:ascii="黑体" w:eastAsia="黑体" w:cs="Times New Roman"/>
                            <w:sz w:val="20"/>
                            <w:szCs w:val="20"/>
                          </w:rPr>
                          <w:t>页码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：阅读型专著类文献可以不标页码或者标识起止页码。引文参考文献应标注引文页码或起讫页码，起讫页码间用连字符连接。</w:t>
                        </w:r>
                      </w:p>
                      <w:p w14:paraId="45172BE1">
                        <w:pPr>
                          <w:rPr>
                            <w:sz w:val="14"/>
                            <w:szCs w:val="14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（8）以图书、图书中的析出文献、连续出版物中的析出文献形式出现的会议录、报告，著录项目与图书、图书中的析出文献、连续出版物中的析出文献的有关规则处理。</w:t>
                        </w:r>
                      </w:p>
                    </w:tc>
                  </w:tr>
                </w:tbl>
                <w:p w14:paraId="76A10D5E">
                  <w:pPr>
                    <w:widowControl/>
                    <w:spacing w:line="242" w:lineRule="atLeast"/>
                    <w:jc w:val="left"/>
                    <w:rPr>
                      <w:sz w:val="14"/>
                      <w:szCs w:val="14"/>
                    </w:rPr>
                  </w:pPr>
                </w:p>
              </w:tc>
            </w:tr>
          </w:tbl>
          <w:p w14:paraId="2763615B">
            <w:pPr>
              <w:widowControl/>
              <w:spacing w:line="242" w:lineRule="atLeast"/>
              <w:jc w:val="left"/>
              <w:rPr>
                <w:sz w:val="14"/>
                <w:szCs w:val="14"/>
              </w:rPr>
            </w:pPr>
          </w:p>
        </w:tc>
      </w:tr>
      <w:tr w14:paraId="60A25C1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" w:hRule="atLeast"/>
          <w:tblCellSpacing w:w="0" w:type="dxa"/>
          <w:jc w:val="center"/>
        </w:trPr>
        <w:tc>
          <w:tcPr>
            <w:tcW w:w="0" w:type="auto"/>
            <w:vAlign w:val="center"/>
          </w:tcPr>
          <w:p w14:paraId="21876EA7">
            <w:pPr>
              <w:widowControl/>
              <w:spacing w:line="75" w:lineRule="atLeast"/>
              <w:jc w:val="righ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</w:tbl>
    <w:p w14:paraId="0618BBAD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F077416F-814D-40CC-860E-E4724EA828C1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  <w:embedRegular r:id="rId2" w:fontKey="{2950F8F2-21E2-4BD6-8866-1736506361CB}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  <w:embedRegular r:id="rId3" w:fontKey="{7115917D-CCE8-4D9A-8B8D-574055720E7E}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30A1A21"/>
    <w:multiLevelType w:val="multilevel"/>
    <w:tmpl w:val="430A1A21"/>
    <w:lvl w:ilvl="0" w:tentative="0">
      <w:start w:val="1"/>
      <w:numFmt w:val="decimal"/>
      <w:pStyle w:val="12"/>
      <w:lvlText w:val="[%1]"/>
      <w:lvlJc w:val="left"/>
      <w:pPr>
        <w:ind w:left="420" w:hanging="4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875DDA"/>
    <w:rsid w:val="00002F92"/>
    <w:rsid w:val="000032AA"/>
    <w:rsid w:val="0005188D"/>
    <w:rsid w:val="000873DC"/>
    <w:rsid w:val="00094005"/>
    <w:rsid w:val="00094CB8"/>
    <w:rsid w:val="000B6E02"/>
    <w:rsid w:val="000C5A5F"/>
    <w:rsid w:val="000E406B"/>
    <w:rsid w:val="00125B0E"/>
    <w:rsid w:val="0017515E"/>
    <w:rsid w:val="001B7BFC"/>
    <w:rsid w:val="001F5FFA"/>
    <w:rsid w:val="0023143E"/>
    <w:rsid w:val="002443E1"/>
    <w:rsid w:val="002538F8"/>
    <w:rsid w:val="00262C24"/>
    <w:rsid w:val="002B5A52"/>
    <w:rsid w:val="002C331D"/>
    <w:rsid w:val="002C49F0"/>
    <w:rsid w:val="002F014B"/>
    <w:rsid w:val="003A003E"/>
    <w:rsid w:val="003C1104"/>
    <w:rsid w:val="003C22DA"/>
    <w:rsid w:val="003D3A3B"/>
    <w:rsid w:val="00420EE8"/>
    <w:rsid w:val="00432941"/>
    <w:rsid w:val="00476097"/>
    <w:rsid w:val="004D21D7"/>
    <w:rsid w:val="004D2916"/>
    <w:rsid w:val="004E1F46"/>
    <w:rsid w:val="004E68F8"/>
    <w:rsid w:val="004F3D50"/>
    <w:rsid w:val="0051758B"/>
    <w:rsid w:val="00532671"/>
    <w:rsid w:val="005B3046"/>
    <w:rsid w:val="005F0C2C"/>
    <w:rsid w:val="005F2DE1"/>
    <w:rsid w:val="00615E57"/>
    <w:rsid w:val="0065524E"/>
    <w:rsid w:val="00656F4E"/>
    <w:rsid w:val="00687C0F"/>
    <w:rsid w:val="006A5BD4"/>
    <w:rsid w:val="006B5E6E"/>
    <w:rsid w:val="006D559C"/>
    <w:rsid w:val="00723B03"/>
    <w:rsid w:val="00740AB5"/>
    <w:rsid w:val="00750A04"/>
    <w:rsid w:val="007557D1"/>
    <w:rsid w:val="00771120"/>
    <w:rsid w:val="007853A5"/>
    <w:rsid w:val="00795DA1"/>
    <w:rsid w:val="0081143F"/>
    <w:rsid w:val="008255F6"/>
    <w:rsid w:val="00855B61"/>
    <w:rsid w:val="008570FC"/>
    <w:rsid w:val="00875DDA"/>
    <w:rsid w:val="0087609C"/>
    <w:rsid w:val="00883155"/>
    <w:rsid w:val="008867F6"/>
    <w:rsid w:val="008E40B7"/>
    <w:rsid w:val="008E4564"/>
    <w:rsid w:val="008F2978"/>
    <w:rsid w:val="00913868"/>
    <w:rsid w:val="009619D6"/>
    <w:rsid w:val="00985E3B"/>
    <w:rsid w:val="00986383"/>
    <w:rsid w:val="009947D0"/>
    <w:rsid w:val="009B1E23"/>
    <w:rsid w:val="009D569C"/>
    <w:rsid w:val="009E3E06"/>
    <w:rsid w:val="009E480F"/>
    <w:rsid w:val="009F7453"/>
    <w:rsid w:val="00A0063C"/>
    <w:rsid w:val="00A05E32"/>
    <w:rsid w:val="00A45715"/>
    <w:rsid w:val="00A63B86"/>
    <w:rsid w:val="00A720C5"/>
    <w:rsid w:val="00A95681"/>
    <w:rsid w:val="00AC32B5"/>
    <w:rsid w:val="00B15DDE"/>
    <w:rsid w:val="00B241D3"/>
    <w:rsid w:val="00B728D9"/>
    <w:rsid w:val="00B85EC7"/>
    <w:rsid w:val="00B918F1"/>
    <w:rsid w:val="00BF2C65"/>
    <w:rsid w:val="00C14616"/>
    <w:rsid w:val="00C17A78"/>
    <w:rsid w:val="00C518F1"/>
    <w:rsid w:val="00C62F59"/>
    <w:rsid w:val="00C66D47"/>
    <w:rsid w:val="00C87E09"/>
    <w:rsid w:val="00D33594"/>
    <w:rsid w:val="00D478A9"/>
    <w:rsid w:val="00D54DCE"/>
    <w:rsid w:val="00D93B16"/>
    <w:rsid w:val="00DA560B"/>
    <w:rsid w:val="00DB745D"/>
    <w:rsid w:val="00DD2E61"/>
    <w:rsid w:val="00E14DBE"/>
    <w:rsid w:val="00E16667"/>
    <w:rsid w:val="00E30BFA"/>
    <w:rsid w:val="00E772B3"/>
    <w:rsid w:val="00E922B1"/>
    <w:rsid w:val="00EF0C41"/>
    <w:rsid w:val="00EF408A"/>
    <w:rsid w:val="00F32EB6"/>
    <w:rsid w:val="00F628BB"/>
    <w:rsid w:val="00F67A22"/>
    <w:rsid w:val="00F779C5"/>
    <w:rsid w:val="00FA29BF"/>
    <w:rsid w:val="00FC2C0F"/>
    <w:rsid w:val="00FE2CC6"/>
    <w:rsid w:val="00FE5326"/>
    <w:rsid w:val="00FF5194"/>
    <w:rsid w:val="00FF5917"/>
    <w:rsid w:val="11F80FFD"/>
    <w:rsid w:val="6B0E0AFE"/>
    <w:rsid w:val="6FCC49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7">
    <w:name w:val="Hyperlink"/>
    <w:basedOn w:val="6"/>
    <w:unhideWhenUsed/>
    <w:uiPriority w:val="99"/>
    <w:rPr>
      <w:color w:val="222222"/>
      <w:u w:val="none"/>
    </w:rPr>
  </w:style>
  <w:style w:type="character" w:customStyle="1" w:styleId="8">
    <w:name w:val="页眉 Char"/>
    <w:basedOn w:val="6"/>
    <w:link w:val="3"/>
    <w:semiHidden/>
    <w:uiPriority w:val="99"/>
    <w:rPr>
      <w:sz w:val="18"/>
      <w:szCs w:val="18"/>
    </w:rPr>
  </w:style>
  <w:style w:type="character" w:customStyle="1" w:styleId="9">
    <w:name w:val="页脚 Char"/>
    <w:basedOn w:val="6"/>
    <w:link w:val="2"/>
    <w:semiHidden/>
    <w:uiPriority w:val="99"/>
    <w:rPr>
      <w:sz w:val="18"/>
      <w:szCs w:val="18"/>
    </w:rPr>
  </w:style>
  <w:style w:type="character" w:customStyle="1" w:styleId="10">
    <w:name w:val="j_wenzhang"/>
    <w:basedOn w:val="6"/>
    <w:uiPriority w:val="0"/>
  </w:style>
  <w:style w:type="paragraph" w:styleId="11">
    <w:name w:val="List Paragraph"/>
    <w:basedOn w:val="1"/>
    <w:qFormat/>
    <w:uiPriority w:val="34"/>
    <w:pPr>
      <w:ind w:firstLine="420" w:firstLineChars="200"/>
    </w:pPr>
  </w:style>
  <w:style w:type="paragraph" w:customStyle="1" w:styleId="12">
    <w:name w:val="参考文献正文"/>
    <w:basedOn w:val="1"/>
    <w:uiPriority w:val="0"/>
    <w:pPr>
      <w:numPr>
        <w:ilvl w:val="0"/>
        <w:numId w:val="1"/>
      </w:numPr>
      <w:ind w:firstLine="0"/>
    </w:pPr>
    <w:rPr>
      <w:rFonts w:ascii="Times New Roman" w:hAnsi="Times New Roman" w:eastAsia="宋体" w:cs="宋体"/>
      <w:sz w:val="1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 (Beijing) Limited</Company>
  <Pages>4</Pages>
  <Words>3006</Words>
  <Characters>5046</Characters>
  <Lines>40</Lines>
  <Paragraphs>11</Paragraphs>
  <TotalTime>172</TotalTime>
  <ScaleCrop>false</ScaleCrop>
  <LinksUpToDate>false</LinksUpToDate>
  <CharactersWithSpaces>5316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2026-03-18T07:22:00Z</dcterms:created>
  <dc:creator>徐永祥</dc:creator>
  <cp:lastModifiedBy>涵</cp:lastModifiedBy>
  <dcterms:modified xsi:type="dcterms:W3CDTF">2026-04-09T02:41:52Z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eyJoZGlkIjoiNDEzYmU0ZDkyY2YxMTdjMTc1MGVhZDhmMjE4ODQ4NjEiLCJ1c2VySWQiOiIzMzc1OTczMTQifQ==</vt:lpwstr>
  </property>
  <property fmtid="{D5CDD505-2E9C-101B-9397-08002B2CF9AE}" pid="3" name="KSOProductBuildVer">
    <vt:lpwstr>2052-12.1.0.25225</vt:lpwstr>
  </property>
  <property fmtid="{D5CDD505-2E9C-101B-9397-08002B2CF9AE}" pid="4" name="ICV">
    <vt:lpwstr>F101DF2EE8F04F8E9A2A94F3543E0105_12</vt:lpwstr>
  </property>
</Properties>
</file>